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E" w:rsidRDefault="00794D2B" w:rsidP="00EA4E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E4E">
        <w:rPr>
          <w:rFonts w:ascii="Times New Roman" w:hAnsi="Times New Roman" w:cs="Times New Roman"/>
          <w:b/>
          <w:sz w:val="36"/>
          <w:szCs w:val="36"/>
        </w:rPr>
        <w:t>Доклад к</w:t>
      </w:r>
      <w:r w:rsidR="00B178A1" w:rsidRPr="00EA4E4E">
        <w:rPr>
          <w:rFonts w:ascii="Times New Roman" w:hAnsi="Times New Roman" w:cs="Times New Roman"/>
          <w:b/>
          <w:sz w:val="36"/>
          <w:szCs w:val="36"/>
        </w:rPr>
        <w:t xml:space="preserve"> публичным обсужд</w:t>
      </w:r>
      <w:r w:rsidRPr="00EA4E4E">
        <w:rPr>
          <w:rFonts w:ascii="Times New Roman" w:hAnsi="Times New Roman" w:cs="Times New Roman"/>
          <w:b/>
          <w:sz w:val="36"/>
          <w:szCs w:val="36"/>
        </w:rPr>
        <w:t xml:space="preserve">ениям </w:t>
      </w:r>
      <w:r w:rsidR="00EA4E4E" w:rsidRPr="00EA4E4E">
        <w:rPr>
          <w:rFonts w:ascii="Times New Roman" w:hAnsi="Times New Roman" w:cs="Times New Roman"/>
          <w:b/>
          <w:sz w:val="36"/>
          <w:szCs w:val="36"/>
        </w:rPr>
        <w:t xml:space="preserve">правоприменительной практики </w:t>
      </w:r>
    </w:p>
    <w:p w:rsidR="00EA4E4E" w:rsidRDefault="00EA4E4E" w:rsidP="00EA4E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A4E4E">
        <w:rPr>
          <w:rFonts w:ascii="Times New Roman" w:hAnsi="Times New Roman" w:cs="Times New Roman"/>
          <w:b/>
          <w:sz w:val="36"/>
          <w:szCs w:val="36"/>
        </w:rPr>
        <w:t>Тульского</w:t>
      </w:r>
      <w:proofErr w:type="gramEnd"/>
      <w:r w:rsidRPr="00EA4E4E">
        <w:rPr>
          <w:rFonts w:ascii="Times New Roman" w:hAnsi="Times New Roman" w:cs="Times New Roman"/>
          <w:b/>
          <w:sz w:val="36"/>
          <w:szCs w:val="36"/>
        </w:rPr>
        <w:t xml:space="preserve"> УФАС России за 2023 год</w:t>
      </w:r>
    </w:p>
    <w:p w:rsidR="00794D2B" w:rsidRPr="00EA4E4E" w:rsidRDefault="00EA4E4E" w:rsidP="00B76C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(Тула, 20.03.2024)</w:t>
      </w:r>
    </w:p>
    <w:p w:rsidR="00B178A1" w:rsidRPr="00B76CD6" w:rsidRDefault="00B178A1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 xml:space="preserve">В ходе осуществления </w:t>
      </w:r>
      <w:r w:rsidRPr="00B76CD6">
        <w:rPr>
          <w:rFonts w:ascii="Times New Roman" w:hAnsi="Times New Roman" w:cs="Times New Roman"/>
          <w:b/>
          <w:i/>
          <w:sz w:val="24"/>
          <w:szCs w:val="24"/>
        </w:rPr>
        <w:t>антимонопольного контроля в отношении хозяйствующих субъектов</w:t>
      </w:r>
      <w:r w:rsidRPr="00B76CD6">
        <w:rPr>
          <w:rFonts w:ascii="Times New Roman" w:hAnsi="Times New Roman" w:cs="Times New Roman"/>
          <w:sz w:val="24"/>
          <w:szCs w:val="24"/>
        </w:rPr>
        <w:t xml:space="preserve"> за 20</w:t>
      </w:r>
      <w:r w:rsidR="00261DA5" w:rsidRPr="00B76CD6">
        <w:rPr>
          <w:rFonts w:ascii="Times New Roman" w:hAnsi="Times New Roman" w:cs="Times New Roman"/>
          <w:sz w:val="24"/>
          <w:szCs w:val="24"/>
        </w:rPr>
        <w:t>2</w:t>
      </w:r>
      <w:r w:rsidR="00F55014" w:rsidRPr="00B76CD6">
        <w:rPr>
          <w:rFonts w:ascii="Times New Roman" w:hAnsi="Times New Roman" w:cs="Times New Roman"/>
          <w:sz w:val="24"/>
          <w:szCs w:val="24"/>
        </w:rPr>
        <w:t>3</w:t>
      </w:r>
      <w:r w:rsidRPr="00B76CD6">
        <w:rPr>
          <w:rFonts w:ascii="Times New Roman" w:hAnsi="Times New Roman" w:cs="Times New Roman"/>
          <w:sz w:val="24"/>
          <w:szCs w:val="24"/>
        </w:rPr>
        <w:t xml:space="preserve"> год</w:t>
      </w:r>
      <w:r w:rsidR="00261DA5" w:rsidRPr="00B76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CD6">
        <w:rPr>
          <w:rFonts w:ascii="Times New Roman" w:hAnsi="Times New Roman" w:cs="Times New Roman"/>
          <w:sz w:val="24"/>
          <w:szCs w:val="24"/>
        </w:rPr>
        <w:t>Тульским</w:t>
      </w:r>
      <w:proofErr w:type="gramEnd"/>
      <w:r w:rsidRPr="00B76CD6">
        <w:rPr>
          <w:rFonts w:ascii="Times New Roman" w:hAnsi="Times New Roman" w:cs="Times New Roman"/>
          <w:sz w:val="24"/>
          <w:szCs w:val="24"/>
        </w:rPr>
        <w:t xml:space="preserve"> УФАС России рассмотрено </w:t>
      </w:r>
      <w:r w:rsidR="00D94C7F" w:rsidRPr="00B76CD6">
        <w:rPr>
          <w:rFonts w:ascii="Times New Roman" w:hAnsi="Times New Roman" w:cs="Times New Roman"/>
          <w:sz w:val="24"/>
          <w:szCs w:val="24"/>
        </w:rPr>
        <w:t>197</w:t>
      </w:r>
      <w:r w:rsidR="00AC1096" w:rsidRPr="00B76CD6">
        <w:rPr>
          <w:rFonts w:ascii="Times New Roman" w:hAnsi="Times New Roman" w:cs="Times New Roman"/>
          <w:sz w:val="24"/>
          <w:szCs w:val="24"/>
        </w:rPr>
        <w:t xml:space="preserve"> </w:t>
      </w:r>
      <w:r w:rsidRPr="00B76CD6">
        <w:rPr>
          <w:rFonts w:ascii="Times New Roman" w:hAnsi="Times New Roman" w:cs="Times New Roman"/>
          <w:sz w:val="24"/>
          <w:szCs w:val="24"/>
        </w:rPr>
        <w:t>заявлени</w:t>
      </w:r>
      <w:r w:rsidR="00D94C7F" w:rsidRPr="00B76CD6">
        <w:rPr>
          <w:rFonts w:ascii="Times New Roman" w:hAnsi="Times New Roman" w:cs="Times New Roman"/>
          <w:sz w:val="24"/>
          <w:szCs w:val="24"/>
        </w:rPr>
        <w:t>й</w:t>
      </w:r>
      <w:r w:rsidRPr="00B76CD6">
        <w:rPr>
          <w:rFonts w:ascii="Times New Roman" w:hAnsi="Times New Roman" w:cs="Times New Roman"/>
          <w:sz w:val="24"/>
          <w:szCs w:val="24"/>
        </w:rPr>
        <w:t xml:space="preserve"> о нарушении требований антимонопольного законодательства</w:t>
      </w:r>
      <w:r w:rsidR="00AC1096" w:rsidRPr="00B76CD6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D94C7F" w:rsidRPr="00B76CD6">
        <w:rPr>
          <w:rFonts w:ascii="Times New Roman" w:hAnsi="Times New Roman" w:cs="Times New Roman"/>
          <w:sz w:val="24"/>
          <w:szCs w:val="24"/>
        </w:rPr>
        <w:t>2 предупреждения</w:t>
      </w:r>
      <w:r w:rsidR="00AC1096" w:rsidRPr="00B76CD6">
        <w:rPr>
          <w:rFonts w:ascii="Times New Roman" w:hAnsi="Times New Roman" w:cs="Times New Roman"/>
          <w:sz w:val="24"/>
          <w:szCs w:val="24"/>
        </w:rPr>
        <w:t xml:space="preserve"> о прекращении нарушения антимонопольного законодательства.</w:t>
      </w:r>
    </w:p>
    <w:p w:rsidR="000B7470" w:rsidRPr="00B76CD6" w:rsidRDefault="000B7470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CD6">
        <w:rPr>
          <w:rFonts w:ascii="Times New Roman" w:hAnsi="Times New Roman" w:cs="Times New Roman"/>
          <w:b/>
          <w:i/>
          <w:sz w:val="24"/>
          <w:szCs w:val="24"/>
        </w:rPr>
        <w:t>В рамках осуществления полномочий по соблюдению сетевыми организациями Правил технологического присоединения</w:t>
      </w:r>
      <w:r w:rsidRPr="00B76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D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76CD6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 861 (далее - Правила), Управлением в 2023 года рассмотрено более 1200 заявлений граждан о нарушении сетевыми организациями вышеуказанных Прав</w:t>
      </w:r>
      <w:r w:rsidR="00CD3B81">
        <w:rPr>
          <w:rFonts w:ascii="Times New Roman" w:hAnsi="Times New Roman" w:cs="Times New Roman"/>
          <w:sz w:val="24"/>
          <w:szCs w:val="24"/>
        </w:rPr>
        <w:t>ил, по</w:t>
      </w:r>
      <w:proofErr w:type="gramEnd"/>
      <w:r w:rsidR="00CD3B81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proofErr w:type="gramStart"/>
      <w:r w:rsidR="00CD3B81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B76CD6">
        <w:rPr>
          <w:rFonts w:ascii="Times New Roman" w:hAnsi="Times New Roman" w:cs="Times New Roman"/>
          <w:sz w:val="24"/>
          <w:szCs w:val="24"/>
        </w:rPr>
        <w:t xml:space="preserve"> которых возбуждено 4</w:t>
      </w:r>
      <w:r w:rsidR="00CD3B81">
        <w:rPr>
          <w:rFonts w:ascii="Times New Roman" w:hAnsi="Times New Roman" w:cs="Times New Roman"/>
          <w:sz w:val="24"/>
          <w:szCs w:val="24"/>
        </w:rPr>
        <w:t>30</w:t>
      </w:r>
      <w:r w:rsidRPr="00B76CD6">
        <w:rPr>
          <w:rFonts w:ascii="Times New Roman" w:hAnsi="Times New Roman" w:cs="Times New Roman"/>
          <w:sz w:val="24"/>
          <w:szCs w:val="24"/>
        </w:rPr>
        <w:t xml:space="preserve"> административных дел</w:t>
      </w:r>
      <w:r w:rsidR="00CD3B81">
        <w:rPr>
          <w:rFonts w:ascii="Times New Roman" w:hAnsi="Times New Roman" w:cs="Times New Roman"/>
          <w:sz w:val="24"/>
          <w:szCs w:val="24"/>
        </w:rPr>
        <w:t>а (статья 9.21 КоАП РФ). В связи с устранением нарушений прекращено 355.</w:t>
      </w:r>
      <w:r w:rsidRPr="00B76CD6">
        <w:rPr>
          <w:rFonts w:ascii="Times New Roman" w:hAnsi="Times New Roman" w:cs="Times New Roman"/>
          <w:sz w:val="24"/>
          <w:szCs w:val="24"/>
        </w:rPr>
        <w:t xml:space="preserve"> </w:t>
      </w:r>
      <w:r w:rsidR="00CD3B81">
        <w:rPr>
          <w:rFonts w:ascii="Times New Roman" w:hAnsi="Times New Roman" w:cs="Times New Roman"/>
          <w:sz w:val="24"/>
          <w:szCs w:val="24"/>
        </w:rPr>
        <w:t>Общая сумма административных штрафов составила около 62 млн. руб</w:t>
      </w:r>
      <w:r w:rsidRPr="00B76C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470" w:rsidRPr="00B76CD6" w:rsidRDefault="000B7470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b/>
          <w:i/>
          <w:sz w:val="24"/>
          <w:szCs w:val="24"/>
        </w:rPr>
        <w:t>В сфере надзора за соблюдением законодательства о рекламе</w:t>
      </w:r>
      <w:r w:rsidRPr="00B76CD6">
        <w:rPr>
          <w:rFonts w:ascii="Times New Roman" w:hAnsi="Times New Roman" w:cs="Times New Roman"/>
          <w:sz w:val="24"/>
          <w:szCs w:val="24"/>
        </w:rPr>
        <w:t xml:space="preserve"> рассмотрено 109 заявлений, по </w:t>
      </w:r>
      <w:proofErr w:type="gramStart"/>
      <w:r w:rsidRPr="00B76CD6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B76CD6">
        <w:rPr>
          <w:rFonts w:ascii="Times New Roman" w:hAnsi="Times New Roman" w:cs="Times New Roman"/>
          <w:sz w:val="24"/>
          <w:szCs w:val="24"/>
        </w:rPr>
        <w:t xml:space="preserve"> рассмотрения которых возбуждено и рассмотрено 2 дела по признакам нарушения законодательства РФ о рекламе. </w:t>
      </w:r>
    </w:p>
    <w:p w:rsidR="00C70BD7" w:rsidRPr="00B76CD6" w:rsidRDefault="003E1009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b/>
          <w:i/>
          <w:sz w:val="24"/>
          <w:szCs w:val="24"/>
        </w:rPr>
        <w:t>В порядке статьи 18.1 ФЗ «О защите конкуренции»</w:t>
      </w:r>
      <w:r w:rsidRPr="00B76CD6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E40E2C" w:rsidRPr="00E40E2C">
        <w:rPr>
          <w:rFonts w:ascii="Times New Roman" w:hAnsi="Times New Roman" w:cs="Times New Roman"/>
          <w:sz w:val="24"/>
          <w:szCs w:val="24"/>
        </w:rPr>
        <w:t>82</w:t>
      </w:r>
      <w:r w:rsidRPr="00B76CD6">
        <w:rPr>
          <w:rFonts w:ascii="Times New Roman" w:hAnsi="Times New Roman" w:cs="Times New Roman"/>
          <w:sz w:val="24"/>
          <w:szCs w:val="24"/>
        </w:rPr>
        <w:t xml:space="preserve"> жалоб</w:t>
      </w:r>
      <w:r w:rsidR="00E40E2C">
        <w:rPr>
          <w:rFonts w:ascii="Times New Roman" w:hAnsi="Times New Roman" w:cs="Times New Roman"/>
          <w:sz w:val="24"/>
          <w:szCs w:val="24"/>
        </w:rPr>
        <w:t>ы</w:t>
      </w:r>
      <w:r w:rsidRPr="00B76CD6">
        <w:rPr>
          <w:rFonts w:ascii="Times New Roman" w:hAnsi="Times New Roman" w:cs="Times New Roman"/>
          <w:sz w:val="24"/>
          <w:szCs w:val="24"/>
        </w:rPr>
        <w:t xml:space="preserve"> на нарушение процедуры торгов и порядка заключения договоров, в том числе отдельными видами юридических лиц. Из них: </w:t>
      </w:r>
      <w:r w:rsidR="00E40E2C">
        <w:rPr>
          <w:rFonts w:ascii="Times New Roman" w:hAnsi="Times New Roman" w:cs="Times New Roman"/>
          <w:sz w:val="24"/>
          <w:szCs w:val="24"/>
        </w:rPr>
        <w:t>9</w:t>
      </w:r>
      <w:r w:rsidRPr="00B76CD6">
        <w:rPr>
          <w:rFonts w:ascii="Times New Roman" w:hAnsi="Times New Roman" w:cs="Times New Roman"/>
          <w:sz w:val="24"/>
          <w:szCs w:val="24"/>
        </w:rPr>
        <w:t xml:space="preserve"> жалоб признаны обоснованными,</w:t>
      </w:r>
      <w:r w:rsidR="00F55014" w:rsidRPr="00B76CD6">
        <w:rPr>
          <w:rFonts w:ascii="Times New Roman" w:hAnsi="Times New Roman" w:cs="Times New Roman"/>
          <w:sz w:val="24"/>
          <w:szCs w:val="24"/>
        </w:rPr>
        <w:t xml:space="preserve"> </w:t>
      </w:r>
      <w:r w:rsidR="00E40E2C">
        <w:rPr>
          <w:rFonts w:ascii="Times New Roman" w:hAnsi="Times New Roman" w:cs="Times New Roman"/>
          <w:sz w:val="24"/>
          <w:szCs w:val="24"/>
        </w:rPr>
        <w:t>3</w:t>
      </w:r>
      <w:r w:rsidR="00F55014" w:rsidRPr="00B76CD6">
        <w:rPr>
          <w:rFonts w:ascii="Times New Roman" w:hAnsi="Times New Roman" w:cs="Times New Roman"/>
          <w:sz w:val="24"/>
          <w:szCs w:val="24"/>
        </w:rPr>
        <w:t>7</w:t>
      </w:r>
      <w:r w:rsidR="00961F89" w:rsidRPr="00B76CD6">
        <w:rPr>
          <w:rFonts w:ascii="Times New Roman" w:hAnsi="Times New Roman" w:cs="Times New Roman"/>
          <w:sz w:val="24"/>
          <w:szCs w:val="24"/>
        </w:rPr>
        <w:t xml:space="preserve"> </w:t>
      </w:r>
      <w:r w:rsidRPr="00B76CD6">
        <w:rPr>
          <w:rFonts w:ascii="Times New Roman" w:hAnsi="Times New Roman" w:cs="Times New Roman"/>
          <w:sz w:val="24"/>
          <w:szCs w:val="24"/>
        </w:rPr>
        <w:t xml:space="preserve">– необоснованными, </w:t>
      </w:r>
      <w:r w:rsidR="00F55014" w:rsidRPr="00B76CD6">
        <w:rPr>
          <w:rFonts w:ascii="Times New Roman" w:hAnsi="Times New Roman" w:cs="Times New Roman"/>
          <w:sz w:val="24"/>
          <w:szCs w:val="24"/>
        </w:rPr>
        <w:t>1</w:t>
      </w:r>
      <w:r w:rsidR="00E40E2C">
        <w:rPr>
          <w:rFonts w:ascii="Times New Roman" w:hAnsi="Times New Roman" w:cs="Times New Roman"/>
          <w:sz w:val="24"/>
          <w:szCs w:val="24"/>
        </w:rPr>
        <w:t>5</w:t>
      </w:r>
      <w:r w:rsidR="005A4E13" w:rsidRPr="00B76CD6">
        <w:rPr>
          <w:rFonts w:ascii="Times New Roman" w:hAnsi="Times New Roman" w:cs="Times New Roman"/>
          <w:sz w:val="24"/>
          <w:szCs w:val="24"/>
        </w:rPr>
        <w:t xml:space="preserve"> </w:t>
      </w:r>
      <w:r w:rsidRPr="00B76CD6">
        <w:rPr>
          <w:rFonts w:ascii="Times New Roman" w:hAnsi="Times New Roman" w:cs="Times New Roman"/>
          <w:sz w:val="24"/>
          <w:szCs w:val="24"/>
        </w:rPr>
        <w:t xml:space="preserve">жалоб возвращены, а </w:t>
      </w:r>
      <w:r w:rsidR="00E40E2C">
        <w:rPr>
          <w:rFonts w:ascii="Times New Roman" w:hAnsi="Times New Roman" w:cs="Times New Roman"/>
          <w:sz w:val="24"/>
          <w:szCs w:val="24"/>
        </w:rPr>
        <w:t>10</w:t>
      </w:r>
      <w:r w:rsidRPr="00B76CD6">
        <w:rPr>
          <w:rFonts w:ascii="Times New Roman" w:hAnsi="Times New Roman" w:cs="Times New Roman"/>
          <w:sz w:val="24"/>
          <w:szCs w:val="24"/>
        </w:rPr>
        <w:t xml:space="preserve"> – был</w:t>
      </w:r>
      <w:r w:rsidR="00961F89" w:rsidRPr="00B76CD6">
        <w:rPr>
          <w:rFonts w:ascii="Times New Roman" w:hAnsi="Times New Roman" w:cs="Times New Roman"/>
          <w:sz w:val="24"/>
          <w:szCs w:val="24"/>
        </w:rPr>
        <w:t>и</w:t>
      </w:r>
      <w:r w:rsidRPr="00B76CD6">
        <w:rPr>
          <w:rFonts w:ascii="Times New Roman" w:hAnsi="Times New Roman" w:cs="Times New Roman"/>
          <w:sz w:val="24"/>
          <w:szCs w:val="24"/>
        </w:rPr>
        <w:t xml:space="preserve"> отозван</w:t>
      </w:r>
      <w:r w:rsidR="00961F89" w:rsidRPr="00B76CD6">
        <w:rPr>
          <w:rFonts w:ascii="Times New Roman" w:hAnsi="Times New Roman" w:cs="Times New Roman"/>
          <w:sz w:val="24"/>
          <w:szCs w:val="24"/>
        </w:rPr>
        <w:t>ы</w:t>
      </w:r>
      <w:r w:rsidRPr="00B76CD6">
        <w:rPr>
          <w:rFonts w:ascii="Times New Roman" w:hAnsi="Times New Roman" w:cs="Times New Roman"/>
          <w:sz w:val="24"/>
          <w:szCs w:val="24"/>
        </w:rPr>
        <w:t>.</w:t>
      </w:r>
      <w:r w:rsidR="0079214B" w:rsidRPr="00B76CD6">
        <w:rPr>
          <w:rFonts w:ascii="Times New Roman" w:hAnsi="Times New Roman" w:cs="Times New Roman"/>
          <w:sz w:val="24"/>
          <w:szCs w:val="24"/>
        </w:rPr>
        <w:t xml:space="preserve"> </w:t>
      </w:r>
      <w:r w:rsidR="00961F89" w:rsidRPr="00B76CD6">
        <w:rPr>
          <w:rFonts w:ascii="Times New Roman" w:hAnsi="Times New Roman" w:cs="Times New Roman"/>
          <w:sz w:val="24"/>
          <w:szCs w:val="24"/>
        </w:rPr>
        <w:t>Л</w:t>
      </w:r>
      <w:r w:rsidRPr="00B76CD6">
        <w:rPr>
          <w:rFonts w:ascii="Times New Roman" w:hAnsi="Times New Roman" w:cs="Times New Roman"/>
          <w:sz w:val="24"/>
          <w:szCs w:val="24"/>
        </w:rPr>
        <w:t>иц</w:t>
      </w:r>
      <w:r w:rsidR="00961F89" w:rsidRPr="00B76CD6">
        <w:rPr>
          <w:rFonts w:ascii="Times New Roman" w:hAnsi="Times New Roman" w:cs="Times New Roman"/>
          <w:sz w:val="24"/>
          <w:szCs w:val="24"/>
        </w:rPr>
        <w:t>а</w:t>
      </w:r>
      <w:r w:rsidRPr="00B76CD6">
        <w:rPr>
          <w:rFonts w:ascii="Times New Roman" w:hAnsi="Times New Roman" w:cs="Times New Roman"/>
          <w:sz w:val="24"/>
          <w:szCs w:val="24"/>
        </w:rPr>
        <w:t>, допустивши</w:t>
      </w:r>
      <w:r w:rsidR="00961F89" w:rsidRPr="00B76CD6">
        <w:rPr>
          <w:rFonts w:ascii="Times New Roman" w:hAnsi="Times New Roman" w:cs="Times New Roman"/>
          <w:sz w:val="24"/>
          <w:szCs w:val="24"/>
        </w:rPr>
        <w:t>е</w:t>
      </w:r>
      <w:r w:rsidRPr="00B76CD6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="00961F89" w:rsidRPr="00B76CD6">
        <w:rPr>
          <w:rFonts w:ascii="Times New Roman" w:hAnsi="Times New Roman" w:cs="Times New Roman"/>
          <w:sz w:val="24"/>
          <w:szCs w:val="24"/>
        </w:rPr>
        <w:t>привлечены к</w:t>
      </w:r>
      <w:r w:rsidRPr="00B76CD6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961F89" w:rsidRPr="00B76CD6">
        <w:rPr>
          <w:rFonts w:ascii="Times New Roman" w:hAnsi="Times New Roman" w:cs="Times New Roman"/>
          <w:sz w:val="24"/>
          <w:szCs w:val="24"/>
        </w:rPr>
        <w:t>ой</w:t>
      </w:r>
      <w:r w:rsidRPr="00B76CD6">
        <w:rPr>
          <w:rFonts w:ascii="Times New Roman" w:hAnsi="Times New Roman" w:cs="Times New Roman"/>
          <w:sz w:val="24"/>
          <w:szCs w:val="24"/>
        </w:rPr>
        <w:t xml:space="preserve"> </w:t>
      </w:r>
      <w:r w:rsidR="00961F89" w:rsidRPr="00B76CD6">
        <w:rPr>
          <w:rFonts w:ascii="Times New Roman" w:hAnsi="Times New Roman" w:cs="Times New Roman"/>
          <w:sz w:val="24"/>
          <w:szCs w:val="24"/>
        </w:rPr>
        <w:t>ответственности</w:t>
      </w:r>
      <w:r w:rsidR="00E2441D">
        <w:rPr>
          <w:rFonts w:ascii="Times New Roman" w:hAnsi="Times New Roman" w:cs="Times New Roman"/>
          <w:sz w:val="24"/>
          <w:szCs w:val="24"/>
        </w:rPr>
        <w:t>.</w:t>
      </w:r>
    </w:p>
    <w:p w:rsidR="00666652" w:rsidRPr="00B76CD6" w:rsidRDefault="00666652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>Заказчиками, действия которых обжаловались в Тульском УФАС России, являются АО «КБП», АО «Газпром газораспределение Тула», АО «</w:t>
      </w:r>
      <w:proofErr w:type="spellStart"/>
      <w:r w:rsidRPr="00B76CD6">
        <w:rPr>
          <w:rFonts w:ascii="Times New Roman" w:hAnsi="Times New Roman" w:cs="Times New Roman"/>
          <w:sz w:val="24"/>
          <w:szCs w:val="24"/>
        </w:rPr>
        <w:t>Квадра</w:t>
      </w:r>
      <w:proofErr w:type="spellEnd"/>
      <w:r w:rsidRPr="00B76CD6">
        <w:rPr>
          <w:rFonts w:ascii="Times New Roman" w:hAnsi="Times New Roman" w:cs="Times New Roman"/>
          <w:sz w:val="24"/>
          <w:szCs w:val="24"/>
        </w:rPr>
        <w:t xml:space="preserve">», АО «Корпорация развития Тульской области» и другие. Общая сумма закупок составила 720 </w:t>
      </w:r>
      <w:proofErr w:type="spellStart"/>
      <w:r w:rsidRPr="00B76CD6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B76C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6CD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76CD6">
        <w:rPr>
          <w:rFonts w:ascii="Times New Roman" w:hAnsi="Times New Roman" w:cs="Times New Roman"/>
          <w:sz w:val="24"/>
          <w:szCs w:val="24"/>
        </w:rPr>
        <w:t>.</w:t>
      </w:r>
    </w:p>
    <w:p w:rsidR="00DF24BB" w:rsidRPr="00B76CD6" w:rsidRDefault="00DF24BB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>В качестве примера</w:t>
      </w:r>
      <w:r w:rsidR="00D94C7F" w:rsidRPr="00B76CD6">
        <w:rPr>
          <w:rFonts w:ascii="Times New Roman" w:hAnsi="Times New Roman" w:cs="Times New Roman"/>
          <w:sz w:val="24"/>
          <w:szCs w:val="24"/>
        </w:rPr>
        <w:t xml:space="preserve"> судебной практики рассмотрения </w:t>
      </w:r>
      <w:r w:rsidR="00EE5AD9" w:rsidRPr="00B76CD6">
        <w:rPr>
          <w:rFonts w:ascii="Times New Roman" w:hAnsi="Times New Roman" w:cs="Times New Roman"/>
          <w:sz w:val="24"/>
          <w:szCs w:val="24"/>
        </w:rPr>
        <w:t>жалоб в сфере закупок отдельными видами юридических лиц</w:t>
      </w:r>
      <w:r w:rsidRPr="00B76CD6">
        <w:rPr>
          <w:rFonts w:ascii="Times New Roman" w:hAnsi="Times New Roman" w:cs="Times New Roman"/>
          <w:sz w:val="24"/>
          <w:szCs w:val="24"/>
        </w:rPr>
        <w:t xml:space="preserve"> </w:t>
      </w:r>
      <w:r w:rsidR="00D94C7F" w:rsidRPr="00B76CD6">
        <w:rPr>
          <w:rFonts w:ascii="Times New Roman" w:hAnsi="Times New Roman" w:cs="Times New Roman"/>
          <w:sz w:val="24"/>
          <w:szCs w:val="24"/>
        </w:rPr>
        <w:t xml:space="preserve">по итогам 2023 года </w:t>
      </w:r>
      <w:r w:rsidR="00EE5AD9" w:rsidRPr="00B76CD6">
        <w:rPr>
          <w:rFonts w:ascii="Times New Roman" w:hAnsi="Times New Roman" w:cs="Times New Roman"/>
          <w:sz w:val="24"/>
          <w:szCs w:val="24"/>
        </w:rPr>
        <w:t xml:space="preserve">можно привести следующее дело. </w:t>
      </w:r>
    </w:p>
    <w:p w:rsidR="00DF24BB" w:rsidRPr="00B76CD6" w:rsidRDefault="00DF24BB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«Альфа» обратилось в Арбитражный суд Центрального округа с жалобой на решение Арбитражного суда Тульской области от 04.08.2022 и постановление Двадцатого арбитражного апелляционного суда от 16.11.2022  по делу № А68-6328/2021, признавшие законным решение Тульского УФАС России от 15 июня 2021 года по делу № 071/07/3-490/2021.</w:t>
      </w:r>
    </w:p>
    <w:p w:rsidR="00DF24BB" w:rsidRPr="00B76CD6" w:rsidRDefault="00DF24BB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lastRenderedPageBreak/>
        <w:t>Согласно данному решению, ООО «Альфа» обратилось в Тульское УФАС России с жалобой на АО «КБП» (далее – Заказчик) при проведен</w:t>
      </w:r>
      <w:proofErr w:type="gramStart"/>
      <w:r w:rsidRPr="00B76CD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6CD6">
        <w:rPr>
          <w:rFonts w:ascii="Times New Roman" w:hAnsi="Times New Roman" w:cs="Times New Roman"/>
          <w:sz w:val="24"/>
          <w:szCs w:val="24"/>
        </w:rPr>
        <w:t>кциона в электронной форме, участниками которого могут являться только субъекты малого и среднего предпринимательства, на право заключения договора на поставку спецодежды (извещение № 32110148000).</w:t>
      </w:r>
    </w:p>
    <w:p w:rsidR="00DF24BB" w:rsidRPr="00B76CD6" w:rsidRDefault="00DF24BB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>По мнению ООО «Альфа», Заказчиком нарушены пункт 3.4.9 документации и положение о закупках, а именно неправомерно снижена цена договора на 15 % от предложенной цены вследствие того, что в заявке не была указана страна происхождения товара. По мнению Заявителя, указание «да» в графе «поставка товаров российского происхождения» при заполнении формы на электронной торговой площадке, является надлежащим подтверждением того, что предлагаемый Заявителем к поставке товар является товаром российского происхождения.</w:t>
      </w:r>
    </w:p>
    <w:p w:rsidR="00DF24BB" w:rsidRPr="00B76CD6" w:rsidRDefault="00DF24BB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CD6">
        <w:rPr>
          <w:rFonts w:ascii="Times New Roman" w:hAnsi="Times New Roman" w:cs="Times New Roman"/>
          <w:sz w:val="24"/>
          <w:szCs w:val="24"/>
        </w:rPr>
        <w:t>Тульским УФАС России отмечено, что отметка «да» в графе «Поставка товаров российского происхождения» на ЭТП, равно как и указание иных стран происхождения товара, предлагаемого к поставке, не предусмотрена Постановлением Правительства РФ от 16 сентября 2016 года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</w:t>
      </w:r>
      <w:proofErr w:type="gramEnd"/>
      <w:r w:rsidRPr="00B76CD6">
        <w:rPr>
          <w:rFonts w:ascii="Times New Roman" w:hAnsi="Times New Roman" w:cs="Times New Roman"/>
          <w:sz w:val="24"/>
          <w:szCs w:val="24"/>
        </w:rPr>
        <w:t xml:space="preserve"> иностранными лицами»</w:t>
      </w:r>
      <w:r w:rsidR="00D138F2" w:rsidRPr="00B76CD6">
        <w:rPr>
          <w:rFonts w:ascii="Times New Roman" w:hAnsi="Times New Roman" w:cs="Times New Roman"/>
          <w:sz w:val="24"/>
          <w:szCs w:val="24"/>
        </w:rPr>
        <w:t xml:space="preserve"> (далее – Постановление № 925)</w:t>
      </w:r>
      <w:r w:rsidRPr="00B76CD6">
        <w:rPr>
          <w:rFonts w:ascii="Times New Roman" w:hAnsi="Times New Roman" w:cs="Times New Roman"/>
          <w:sz w:val="24"/>
          <w:szCs w:val="24"/>
        </w:rPr>
        <w:t>, так как не позволяет рассчитать процент от цены договора в случае предоставления участником аукциона части товара российского и части иностранного производства.</w:t>
      </w:r>
    </w:p>
    <w:p w:rsidR="00DF24BB" w:rsidRPr="00B76CD6" w:rsidRDefault="00DF24BB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>По результатам рассмотрения жалоб</w:t>
      </w:r>
      <w:proofErr w:type="gramStart"/>
      <w:r w:rsidRPr="00B76CD6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B76CD6">
        <w:rPr>
          <w:rFonts w:ascii="Times New Roman" w:hAnsi="Times New Roman" w:cs="Times New Roman"/>
          <w:sz w:val="24"/>
          <w:szCs w:val="24"/>
        </w:rPr>
        <w:t xml:space="preserve"> «Альфа» Комиссией Тульского УФАС России принято решение о признании указанной жалобы необоснованной.</w:t>
      </w:r>
    </w:p>
    <w:p w:rsidR="00DF24BB" w:rsidRPr="00B76CD6" w:rsidRDefault="00DF24BB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>Не согласившись с решением по делу № 071/07/3-490/2021, ООО «Альфа» обратилось в Арбитражный суд Тульской области.</w:t>
      </w:r>
    </w:p>
    <w:p w:rsidR="00DF24BB" w:rsidRPr="00B76CD6" w:rsidRDefault="00DF24BB" w:rsidP="00B76CD6">
      <w:pPr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ab/>
        <w:t>Арбитражный суд Тульской области поддержал позицию Тульского УФАС России, признав данное решение законным и обоснованным, а заявление ООО «Альфа» – не подлежащим удовлетворению. Суд апелляционной инстанции, рассмотрев апелляционную жалоб</w:t>
      </w:r>
      <w:proofErr w:type="gramStart"/>
      <w:r w:rsidRPr="00B76CD6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B76CD6">
        <w:rPr>
          <w:rFonts w:ascii="Times New Roman" w:hAnsi="Times New Roman" w:cs="Times New Roman"/>
          <w:sz w:val="24"/>
          <w:szCs w:val="24"/>
        </w:rPr>
        <w:t xml:space="preserve"> «Альфа» на указанное решение Арбитражного суда Тульской области, также встал на сторону Тульского УФАС России.</w:t>
      </w:r>
    </w:p>
    <w:p w:rsidR="00DF24BB" w:rsidRPr="00B76CD6" w:rsidRDefault="00DF24BB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CD6">
        <w:rPr>
          <w:rFonts w:ascii="Times New Roman" w:hAnsi="Times New Roman" w:cs="Times New Roman"/>
          <w:sz w:val="24"/>
          <w:szCs w:val="24"/>
        </w:rPr>
        <w:t>07 февраля 2023 года Арбитражный суд Центрального округа поддержал позицию Тульского УФАС России, признав законными Решение Арбитражного суда Тульской области от 04.08.2022 и постановление Двадцатого арбитражного апелляционного суда от 16.11.2022 по делу № А68-6328/2021, оставив их без изменения, а кассационную жалобу ООО «Альфа» - без удовлетворения.</w:t>
      </w:r>
      <w:proofErr w:type="gramEnd"/>
    </w:p>
    <w:p w:rsidR="00DF24BB" w:rsidRPr="00B76CD6" w:rsidRDefault="00EE5AD9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>Таким образом</w:t>
      </w:r>
      <w:r w:rsidR="00D138F2" w:rsidRPr="00B76CD6">
        <w:rPr>
          <w:rFonts w:ascii="Times New Roman" w:hAnsi="Times New Roman" w:cs="Times New Roman"/>
          <w:sz w:val="24"/>
          <w:szCs w:val="24"/>
        </w:rPr>
        <w:t>,</w:t>
      </w:r>
      <w:r w:rsidRPr="00B76CD6">
        <w:rPr>
          <w:rFonts w:ascii="Times New Roman" w:hAnsi="Times New Roman" w:cs="Times New Roman"/>
          <w:sz w:val="24"/>
          <w:szCs w:val="24"/>
        </w:rPr>
        <w:t xml:space="preserve"> указанная судебная практика ещё раз подтвердила необходимость указания участником закупки наименования страны происхождения товара в заявке участника в соответствии с требованиями документации</w:t>
      </w:r>
      <w:r w:rsidR="00D138F2" w:rsidRPr="00B76CD6">
        <w:rPr>
          <w:rFonts w:ascii="Times New Roman" w:hAnsi="Times New Roman" w:cs="Times New Roman"/>
          <w:sz w:val="24"/>
          <w:szCs w:val="24"/>
        </w:rPr>
        <w:t xml:space="preserve"> и Постановления № 925.</w:t>
      </w:r>
    </w:p>
    <w:p w:rsidR="000B7470" w:rsidRPr="00B76CD6" w:rsidRDefault="000B7470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b/>
          <w:i/>
          <w:sz w:val="24"/>
          <w:szCs w:val="24"/>
        </w:rPr>
        <w:t>Касательно нарушений со стороны органов власти</w:t>
      </w:r>
      <w:r w:rsidRPr="00B76CD6">
        <w:rPr>
          <w:rFonts w:ascii="Times New Roman" w:hAnsi="Times New Roman" w:cs="Times New Roman"/>
          <w:sz w:val="24"/>
          <w:szCs w:val="24"/>
        </w:rPr>
        <w:t xml:space="preserve"> за истекший период рассмотрено 23 заявления о нарушении требований антимонопольного законодательства, </w:t>
      </w:r>
      <w:r w:rsidRPr="00B76CD6">
        <w:rPr>
          <w:rFonts w:ascii="Times New Roman" w:hAnsi="Times New Roman" w:cs="Times New Roman"/>
          <w:sz w:val="24"/>
          <w:szCs w:val="24"/>
        </w:rPr>
        <w:lastRenderedPageBreak/>
        <w:t>в 4 случаях установлено наличие признаков нарушения антимонопольного законодательства, выданы предупреждения в адрес органов власти и местного самоуправления о прекращении действий, которые содержат признаки нарушения антимонопольного законодательства.</w:t>
      </w:r>
    </w:p>
    <w:p w:rsidR="000B7470" w:rsidRPr="00B76CD6" w:rsidRDefault="000B7470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>Основными нарушениями со стороны органов власти являются: выдача незаконных преференций и привилегий отдельным компаниям; издание нормативных актов, ограничивающих конкуренцию; введение необоснованных барьеров и запретов для бизнеса.</w:t>
      </w:r>
    </w:p>
    <w:p w:rsidR="000B7470" w:rsidRPr="00B76CD6" w:rsidRDefault="000B7470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CD6">
        <w:rPr>
          <w:rFonts w:ascii="Times New Roman" w:hAnsi="Times New Roman" w:cs="Times New Roman"/>
          <w:sz w:val="24"/>
          <w:szCs w:val="24"/>
        </w:rPr>
        <w:t xml:space="preserve">К важным достижениям управления в  2023 году также следует отнести то, что в результате взаимодействия с правоохранительными органами Тульской области оказано существенное влияние на пресечение систематического (с 2018 года) нарушения антимонопольного законодательства комитетом по земельным и имущественным отношениям администрации муниципального образования </w:t>
      </w:r>
      <w:proofErr w:type="spellStart"/>
      <w:r w:rsidRPr="00B76CD6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B76CD6">
        <w:rPr>
          <w:rFonts w:ascii="Times New Roman" w:hAnsi="Times New Roman" w:cs="Times New Roman"/>
          <w:sz w:val="24"/>
          <w:szCs w:val="24"/>
        </w:rPr>
        <w:t xml:space="preserve"> район, администрацией муниципального образования </w:t>
      </w:r>
      <w:proofErr w:type="spellStart"/>
      <w:r w:rsidRPr="00B76CD6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B76CD6">
        <w:rPr>
          <w:rFonts w:ascii="Times New Roman" w:hAnsi="Times New Roman" w:cs="Times New Roman"/>
          <w:sz w:val="24"/>
          <w:szCs w:val="24"/>
        </w:rPr>
        <w:t xml:space="preserve"> район при передаче во временное владение и пользование коммунальных объектов, находящихся в муниципальной</w:t>
      </w:r>
      <w:proofErr w:type="gramEnd"/>
      <w:r w:rsidRPr="00B76CD6">
        <w:rPr>
          <w:rFonts w:ascii="Times New Roman" w:hAnsi="Times New Roman" w:cs="Times New Roman"/>
          <w:sz w:val="24"/>
          <w:szCs w:val="24"/>
        </w:rPr>
        <w:t xml:space="preserve"> собственности (в том числе объектов водоснабжения и (или) водоотведения), обществу с ограниченной ответственностью «</w:t>
      </w:r>
      <w:proofErr w:type="spellStart"/>
      <w:r w:rsidRPr="00B76CD6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B76CD6">
        <w:rPr>
          <w:rFonts w:ascii="Times New Roman" w:hAnsi="Times New Roman" w:cs="Times New Roman"/>
          <w:sz w:val="24"/>
          <w:szCs w:val="24"/>
        </w:rPr>
        <w:t xml:space="preserve"> Городской Водоканал» с нарушением установленных действующим законодательством Российской Федерации процедур. В результате выдачи КИЗО АМО </w:t>
      </w:r>
      <w:proofErr w:type="spellStart"/>
      <w:r w:rsidRPr="00B76CD6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B76CD6">
        <w:rPr>
          <w:rFonts w:ascii="Times New Roman" w:hAnsi="Times New Roman" w:cs="Times New Roman"/>
          <w:sz w:val="24"/>
          <w:szCs w:val="24"/>
        </w:rPr>
        <w:t xml:space="preserve"> район, АМО </w:t>
      </w:r>
      <w:proofErr w:type="spellStart"/>
      <w:r w:rsidRPr="00B76CD6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B76CD6">
        <w:rPr>
          <w:rFonts w:ascii="Times New Roman" w:hAnsi="Times New Roman" w:cs="Times New Roman"/>
          <w:sz w:val="24"/>
          <w:szCs w:val="24"/>
        </w:rPr>
        <w:t xml:space="preserve"> район предупреждений о необходимости прекращения действий, влекущих нарушение антимонопольного законодательства, выразившихся в незаконной передаче в аренду недвижимого муниципального имущества муниципальн</w:t>
      </w:r>
      <w:r w:rsidR="001C352B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proofErr w:type="spellStart"/>
      <w:r w:rsidR="001C352B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="001C352B"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B76CD6">
        <w:rPr>
          <w:rFonts w:ascii="Times New Roman" w:hAnsi="Times New Roman" w:cs="Times New Roman"/>
          <w:sz w:val="24"/>
          <w:szCs w:val="24"/>
        </w:rPr>
        <w:t xml:space="preserve"> </w:t>
      </w:r>
      <w:r w:rsidR="001C352B" w:rsidRPr="00B76CD6">
        <w:rPr>
          <w:rFonts w:ascii="Times New Roman" w:hAnsi="Times New Roman" w:cs="Times New Roman"/>
          <w:sz w:val="24"/>
          <w:szCs w:val="24"/>
        </w:rPr>
        <w:t xml:space="preserve">создано муниципальное унитарное предприятие по водоснабжению </w:t>
      </w:r>
      <w:r w:rsidR="001C352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C352B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="001C352B">
        <w:rPr>
          <w:rFonts w:ascii="Times New Roman" w:hAnsi="Times New Roman" w:cs="Times New Roman"/>
          <w:sz w:val="24"/>
          <w:szCs w:val="24"/>
        </w:rPr>
        <w:t xml:space="preserve"> района, то есть предупреждения исполнены.</w:t>
      </w:r>
      <w:r w:rsidRPr="00B7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470" w:rsidRPr="00B76CD6" w:rsidRDefault="000B7470" w:rsidP="00202C6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CD6">
        <w:rPr>
          <w:rFonts w:ascii="Times New Roman" w:hAnsi="Times New Roman" w:cs="Times New Roman"/>
          <w:b/>
          <w:i/>
          <w:sz w:val="24"/>
          <w:szCs w:val="24"/>
        </w:rPr>
        <w:t xml:space="preserve">Также необходимо </w:t>
      </w:r>
      <w:r w:rsidR="001C352B">
        <w:rPr>
          <w:rFonts w:ascii="Times New Roman" w:hAnsi="Times New Roman" w:cs="Times New Roman"/>
          <w:b/>
          <w:i/>
          <w:sz w:val="24"/>
          <w:szCs w:val="24"/>
        </w:rPr>
        <w:t>обратить внимание на выявленный факт заключения</w:t>
      </w:r>
      <w:r w:rsidRPr="00B76C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6CD6">
        <w:rPr>
          <w:rFonts w:ascii="Times New Roman" w:hAnsi="Times New Roman" w:cs="Times New Roman"/>
          <w:b/>
          <w:i/>
          <w:sz w:val="24"/>
          <w:szCs w:val="24"/>
        </w:rPr>
        <w:t>антиконкурентн</w:t>
      </w:r>
      <w:r w:rsidR="001C352B">
        <w:rPr>
          <w:rFonts w:ascii="Times New Roman" w:hAnsi="Times New Roman" w:cs="Times New Roman"/>
          <w:b/>
          <w:i/>
          <w:sz w:val="24"/>
          <w:szCs w:val="24"/>
        </w:rPr>
        <w:t>ого</w:t>
      </w:r>
      <w:proofErr w:type="spellEnd"/>
      <w:r w:rsidRPr="00B76CD6">
        <w:rPr>
          <w:rFonts w:ascii="Times New Roman" w:hAnsi="Times New Roman" w:cs="Times New Roman"/>
          <w:b/>
          <w:i/>
          <w:sz w:val="24"/>
          <w:szCs w:val="24"/>
        </w:rPr>
        <w:t xml:space="preserve"> соглашения с участием органов власти. </w:t>
      </w:r>
    </w:p>
    <w:p w:rsidR="000B7470" w:rsidRPr="00B76CD6" w:rsidRDefault="000B7470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>Управлением в 2023 году возбуждено и рассмотрено дело о нарушении антимонопольного законодательства в части нарушения пункта 4 статьи 16 Закона о защите конкуренции.</w:t>
      </w:r>
    </w:p>
    <w:p w:rsidR="000B7470" w:rsidRPr="00B76CD6" w:rsidRDefault="000B7470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 xml:space="preserve">В настоящее время проблема </w:t>
      </w:r>
      <w:proofErr w:type="spellStart"/>
      <w:r w:rsidRPr="00B76CD6">
        <w:rPr>
          <w:rFonts w:ascii="Times New Roman" w:hAnsi="Times New Roman" w:cs="Times New Roman"/>
          <w:sz w:val="24"/>
          <w:szCs w:val="24"/>
        </w:rPr>
        <w:t>антиконкурентных</w:t>
      </w:r>
      <w:proofErr w:type="spellEnd"/>
      <w:r w:rsidRPr="00B76CD6">
        <w:rPr>
          <w:rFonts w:ascii="Times New Roman" w:hAnsi="Times New Roman" w:cs="Times New Roman"/>
          <w:sz w:val="24"/>
          <w:szCs w:val="24"/>
        </w:rPr>
        <w:t xml:space="preserve"> соглашений является актуальной. </w:t>
      </w:r>
      <w:r w:rsidR="001C352B">
        <w:rPr>
          <w:rFonts w:ascii="Times New Roman" w:hAnsi="Times New Roman" w:cs="Times New Roman"/>
          <w:sz w:val="24"/>
          <w:szCs w:val="24"/>
        </w:rPr>
        <w:t>Такие соглашения ежегодно пресекаются антимонопольным органом</w:t>
      </w:r>
      <w:r w:rsidRPr="00B76CD6">
        <w:rPr>
          <w:rFonts w:ascii="Times New Roman" w:hAnsi="Times New Roman" w:cs="Times New Roman"/>
          <w:sz w:val="24"/>
          <w:szCs w:val="24"/>
        </w:rPr>
        <w:t xml:space="preserve">. Данная проблема зачастую связана с тем, что законодательство предусматривает случаи, в которых предоставляется возможность осуществления закупки у единственного поставщика. При выборе такого способа закупки отсутствует обязанность по проведению торгов. В результате многие субъекты заключают соглашения о выполнении работ до заключения контракта, о заключении ряда однородных контрактов на выполнение указанных работ без проведения конкурентных процедур, направленные на ограничение и недопущение конкуренции на определенных рынках, чаще на рынке строительных работ. </w:t>
      </w:r>
    </w:p>
    <w:p w:rsidR="000B7470" w:rsidRPr="00B76CD6" w:rsidRDefault="00CD3B81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r w:rsidR="000B7470" w:rsidRPr="00B76CD6">
        <w:rPr>
          <w:rFonts w:ascii="Times New Roman" w:hAnsi="Times New Roman" w:cs="Times New Roman"/>
          <w:sz w:val="24"/>
          <w:szCs w:val="24"/>
        </w:rPr>
        <w:t xml:space="preserve"> дела о нарушении антимонопольного законодательства в части нарушения пункта 4 статьи 16 Закона о защите конкуренции возбуждены и рассмотрены в результате тесного межведомственного взаимодействия с </w:t>
      </w:r>
      <w:r>
        <w:rPr>
          <w:rFonts w:ascii="Times New Roman" w:hAnsi="Times New Roman" w:cs="Times New Roman"/>
          <w:sz w:val="24"/>
          <w:szCs w:val="24"/>
        </w:rPr>
        <w:t>правоохранительными органами</w:t>
      </w:r>
      <w:r w:rsidR="001C352B">
        <w:rPr>
          <w:rFonts w:ascii="Times New Roman" w:hAnsi="Times New Roman" w:cs="Times New Roman"/>
          <w:sz w:val="24"/>
          <w:szCs w:val="24"/>
        </w:rPr>
        <w:t xml:space="preserve"> и</w:t>
      </w:r>
      <w:r w:rsidR="000B7470" w:rsidRPr="00B76CD6">
        <w:rPr>
          <w:rFonts w:ascii="Times New Roman" w:hAnsi="Times New Roman" w:cs="Times New Roman"/>
          <w:sz w:val="24"/>
          <w:szCs w:val="24"/>
        </w:rPr>
        <w:t xml:space="preserve"> прокуратурой Тульской области по материалам, представленным указанными органами </w:t>
      </w:r>
      <w:r w:rsidR="000B7470" w:rsidRPr="00B76CD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C352B">
        <w:rPr>
          <w:rFonts w:ascii="Times New Roman" w:hAnsi="Times New Roman" w:cs="Times New Roman"/>
          <w:sz w:val="24"/>
          <w:szCs w:val="24"/>
        </w:rPr>
        <w:t>так, в ноябре 2023 года</w:t>
      </w:r>
      <w:r w:rsidR="000B7470" w:rsidRPr="00B76CD6">
        <w:rPr>
          <w:rFonts w:ascii="Times New Roman" w:hAnsi="Times New Roman" w:cs="Times New Roman"/>
          <w:sz w:val="24"/>
          <w:szCs w:val="24"/>
        </w:rPr>
        <w:t>: дело о нарушении антимонопольного законодательства</w:t>
      </w:r>
      <w:r w:rsidR="001C352B">
        <w:rPr>
          <w:rFonts w:ascii="Times New Roman" w:hAnsi="Times New Roman" w:cs="Times New Roman"/>
          <w:sz w:val="24"/>
          <w:szCs w:val="24"/>
        </w:rPr>
        <w:t xml:space="preserve"> </w:t>
      </w:r>
      <w:r w:rsidR="000B7470" w:rsidRPr="00B76CD6">
        <w:rPr>
          <w:rFonts w:ascii="Times New Roman" w:hAnsi="Times New Roman" w:cs="Times New Roman"/>
          <w:sz w:val="24"/>
          <w:szCs w:val="24"/>
        </w:rPr>
        <w:t>возбужден</w:t>
      </w:r>
      <w:r w:rsidR="001C352B">
        <w:rPr>
          <w:rFonts w:ascii="Times New Roman" w:hAnsi="Times New Roman" w:cs="Times New Roman"/>
          <w:sz w:val="24"/>
          <w:szCs w:val="24"/>
        </w:rPr>
        <w:t>о</w:t>
      </w:r>
      <w:r w:rsidR="000B7470" w:rsidRPr="00B76CD6">
        <w:rPr>
          <w:rFonts w:ascii="Times New Roman" w:hAnsi="Times New Roman" w:cs="Times New Roman"/>
          <w:sz w:val="24"/>
          <w:szCs w:val="24"/>
        </w:rPr>
        <w:t xml:space="preserve"> в отношении Управлени</w:t>
      </w:r>
      <w:r w:rsidR="001C352B">
        <w:rPr>
          <w:rFonts w:ascii="Times New Roman" w:hAnsi="Times New Roman" w:cs="Times New Roman"/>
          <w:sz w:val="24"/>
          <w:szCs w:val="24"/>
        </w:rPr>
        <w:t>я</w:t>
      </w:r>
      <w:r w:rsidR="000B7470" w:rsidRPr="00B76CD6">
        <w:rPr>
          <w:rFonts w:ascii="Times New Roman" w:hAnsi="Times New Roman" w:cs="Times New Roman"/>
          <w:sz w:val="24"/>
          <w:szCs w:val="24"/>
        </w:rPr>
        <w:t xml:space="preserve"> по благоустройству администрации города Тулы и МКП «</w:t>
      </w:r>
      <w:proofErr w:type="spellStart"/>
      <w:r w:rsidR="000B7470" w:rsidRPr="00B76CD6">
        <w:rPr>
          <w:rFonts w:ascii="Times New Roman" w:hAnsi="Times New Roman" w:cs="Times New Roman"/>
          <w:sz w:val="24"/>
          <w:szCs w:val="24"/>
        </w:rPr>
        <w:t>Тулагорсвет</w:t>
      </w:r>
      <w:proofErr w:type="spellEnd"/>
      <w:r w:rsidR="000B7470" w:rsidRPr="00B76CD6">
        <w:rPr>
          <w:rFonts w:ascii="Times New Roman" w:hAnsi="Times New Roman" w:cs="Times New Roman"/>
          <w:sz w:val="24"/>
          <w:szCs w:val="24"/>
        </w:rPr>
        <w:t>»  по</w:t>
      </w:r>
      <w:proofErr w:type="gramEnd"/>
      <w:r w:rsidR="000B7470" w:rsidRPr="00B76CD6">
        <w:rPr>
          <w:rFonts w:ascii="Times New Roman" w:hAnsi="Times New Roman" w:cs="Times New Roman"/>
          <w:sz w:val="24"/>
          <w:szCs w:val="24"/>
        </w:rPr>
        <w:t xml:space="preserve"> признакам нарушения пункта 4 статьи 16 Закона о защите конкуренции при заключении соглашения, направленного на ограничение и недопущение конкуренции при обеспечении работоспособности установок, питающихся от линий электропередач г. Тулы). </w:t>
      </w:r>
      <w:proofErr w:type="gramStart"/>
      <w:r w:rsidR="000B7470" w:rsidRPr="00B76CD6">
        <w:rPr>
          <w:rFonts w:ascii="Times New Roman" w:hAnsi="Times New Roman" w:cs="Times New Roman"/>
          <w:sz w:val="24"/>
          <w:szCs w:val="24"/>
        </w:rPr>
        <w:t xml:space="preserve">В ходе рассмотрения дела  о нарушении антимонопольного законодательства № 071/01/16-1185/2023 </w:t>
      </w:r>
      <w:r w:rsidR="001C352B">
        <w:rPr>
          <w:rFonts w:ascii="Times New Roman" w:hAnsi="Times New Roman" w:cs="Times New Roman"/>
          <w:sz w:val="24"/>
          <w:szCs w:val="24"/>
        </w:rPr>
        <w:t>К</w:t>
      </w:r>
      <w:r w:rsidR="000B7470" w:rsidRPr="00B76CD6">
        <w:rPr>
          <w:rFonts w:ascii="Times New Roman" w:hAnsi="Times New Roman" w:cs="Times New Roman"/>
          <w:sz w:val="24"/>
          <w:szCs w:val="24"/>
        </w:rPr>
        <w:t xml:space="preserve">омиссией Тульского УФАС России установлено, что сумма ущерба, причиненного бюджету муниципального образования город Тула, составила 402 361 750, 64 руб.  Все лица признаны нарушившими пункт 4 статьи 16 Федерального закона от 26.07.2006 № 135-ФЗ «О защите конкуренции» и привлечены к административной ответственности.    </w:t>
      </w:r>
      <w:proofErr w:type="gramEnd"/>
    </w:p>
    <w:p w:rsidR="000B7470" w:rsidRPr="00B76CD6" w:rsidRDefault="000B7470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 xml:space="preserve">Работа по борьбе с </w:t>
      </w:r>
      <w:proofErr w:type="spellStart"/>
      <w:r w:rsidRPr="00B76CD6">
        <w:rPr>
          <w:rFonts w:ascii="Times New Roman" w:hAnsi="Times New Roman" w:cs="Times New Roman"/>
          <w:sz w:val="24"/>
          <w:szCs w:val="24"/>
        </w:rPr>
        <w:t>картелизацией</w:t>
      </w:r>
      <w:proofErr w:type="spellEnd"/>
      <w:r w:rsidRPr="00B76CD6">
        <w:rPr>
          <w:rFonts w:ascii="Times New Roman" w:hAnsi="Times New Roman" w:cs="Times New Roman"/>
          <w:sz w:val="24"/>
          <w:szCs w:val="24"/>
        </w:rPr>
        <w:t xml:space="preserve"> экономики будет продолжаться, в том числе во взаимодействии с другими ведомствами согласно заключенным соглашениям с УМВД, прокуратурой, следственным управлением</w:t>
      </w:r>
      <w:r w:rsidR="001C352B">
        <w:rPr>
          <w:rFonts w:ascii="Times New Roman" w:hAnsi="Times New Roman" w:cs="Times New Roman"/>
          <w:sz w:val="24"/>
          <w:szCs w:val="24"/>
        </w:rPr>
        <w:t xml:space="preserve"> Тульской области.</w:t>
      </w:r>
    </w:p>
    <w:p w:rsidR="00E35DA0" w:rsidRPr="00202C69" w:rsidRDefault="00E35DA0" w:rsidP="00B76CD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C69">
        <w:rPr>
          <w:rFonts w:ascii="Times New Roman" w:hAnsi="Times New Roman" w:cs="Times New Roman"/>
          <w:b/>
          <w:i/>
          <w:sz w:val="24"/>
          <w:szCs w:val="24"/>
        </w:rPr>
        <w:t>Рассмотрение  жалоб участников на действия (бездействие) субъектов контроля в рамках законодательства о контрактной системе в сфере закупок товаров, работ, услуг для обеспечения государственных и муниципальных нужд</w:t>
      </w:r>
      <w:r w:rsidR="00B76CD6" w:rsidRPr="00202C6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14AC" w:rsidRPr="00B76CD6" w:rsidRDefault="00D214AC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>В 202</w:t>
      </w:r>
      <w:r w:rsidR="009F2F38" w:rsidRPr="00B76CD6">
        <w:rPr>
          <w:rFonts w:ascii="Times New Roman" w:hAnsi="Times New Roman" w:cs="Times New Roman"/>
          <w:sz w:val="24"/>
          <w:szCs w:val="24"/>
        </w:rPr>
        <w:t>3</w:t>
      </w:r>
      <w:r w:rsidRPr="00B76CD6">
        <w:rPr>
          <w:rFonts w:ascii="Times New Roman" w:hAnsi="Times New Roman" w:cs="Times New Roman"/>
          <w:sz w:val="24"/>
          <w:szCs w:val="24"/>
        </w:rPr>
        <w:t xml:space="preserve"> году рассмотрено 2</w:t>
      </w:r>
      <w:r w:rsidR="009F2F38" w:rsidRPr="00B76CD6">
        <w:rPr>
          <w:rFonts w:ascii="Times New Roman" w:hAnsi="Times New Roman" w:cs="Times New Roman"/>
          <w:sz w:val="24"/>
          <w:szCs w:val="24"/>
        </w:rPr>
        <w:t>2</w:t>
      </w:r>
      <w:r w:rsidRPr="00B76CD6">
        <w:rPr>
          <w:rFonts w:ascii="Times New Roman" w:hAnsi="Times New Roman" w:cs="Times New Roman"/>
          <w:sz w:val="24"/>
          <w:szCs w:val="24"/>
        </w:rPr>
        <w:t xml:space="preserve">0 жалоб на действия субъектов контроля Управления, по результатам рассмотрения которых выявлено </w:t>
      </w:r>
      <w:r w:rsidR="009F2F38" w:rsidRPr="00B76CD6">
        <w:rPr>
          <w:rFonts w:ascii="Times New Roman" w:hAnsi="Times New Roman" w:cs="Times New Roman"/>
          <w:sz w:val="24"/>
          <w:szCs w:val="24"/>
        </w:rPr>
        <w:t>62</w:t>
      </w:r>
      <w:r w:rsidRPr="00B76CD6">
        <w:rPr>
          <w:rFonts w:ascii="Times New Roman" w:hAnsi="Times New Roman" w:cs="Times New Roman"/>
          <w:sz w:val="24"/>
          <w:szCs w:val="24"/>
        </w:rPr>
        <w:t xml:space="preserve"> закупки, проведенн</w:t>
      </w:r>
      <w:r w:rsidR="001C352B">
        <w:rPr>
          <w:rFonts w:ascii="Times New Roman" w:hAnsi="Times New Roman" w:cs="Times New Roman"/>
          <w:sz w:val="24"/>
          <w:szCs w:val="24"/>
        </w:rPr>
        <w:t>ой</w:t>
      </w:r>
      <w:r w:rsidRPr="00B76CD6">
        <w:rPr>
          <w:rFonts w:ascii="Times New Roman" w:hAnsi="Times New Roman" w:cs="Times New Roman"/>
          <w:sz w:val="24"/>
          <w:szCs w:val="24"/>
        </w:rPr>
        <w:t xml:space="preserve"> с нарушением Закона о контрактной системе, в целях </w:t>
      </w:r>
      <w:proofErr w:type="gramStart"/>
      <w:r w:rsidRPr="00B76CD6">
        <w:rPr>
          <w:rFonts w:ascii="Times New Roman" w:hAnsi="Times New Roman" w:cs="Times New Roman"/>
          <w:sz w:val="24"/>
          <w:szCs w:val="24"/>
        </w:rPr>
        <w:t>устранения</w:t>
      </w:r>
      <w:proofErr w:type="gramEnd"/>
      <w:r w:rsidRPr="00B76CD6">
        <w:rPr>
          <w:rFonts w:ascii="Times New Roman" w:hAnsi="Times New Roman" w:cs="Times New Roman"/>
          <w:sz w:val="24"/>
          <w:szCs w:val="24"/>
        </w:rPr>
        <w:t xml:space="preserve"> которых субъектам контроля выдано 4</w:t>
      </w:r>
      <w:r w:rsidR="009F2F38" w:rsidRPr="00B76CD6">
        <w:rPr>
          <w:rFonts w:ascii="Times New Roman" w:hAnsi="Times New Roman" w:cs="Times New Roman"/>
          <w:sz w:val="24"/>
          <w:szCs w:val="24"/>
        </w:rPr>
        <w:t>9</w:t>
      </w:r>
      <w:r w:rsidRPr="00B76CD6">
        <w:rPr>
          <w:rFonts w:ascii="Times New Roman" w:hAnsi="Times New Roman" w:cs="Times New Roman"/>
          <w:sz w:val="24"/>
          <w:szCs w:val="24"/>
        </w:rPr>
        <w:t xml:space="preserve"> предписаний, которые исполнены в полном объеме в установленные сроки.</w:t>
      </w:r>
    </w:p>
    <w:p w:rsidR="00D214AC" w:rsidRPr="00B76CD6" w:rsidRDefault="00D214AC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>Большая часть субъектов контроля, на действия которых поступают жалобы, относятся к уровню субъекта Российской Федерации (более 85%). Меньше всего обжалуются действия заказчиков федерального уровня.</w:t>
      </w:r>
    </w:p>
    <w:p w:rsidR="00D214AC" w:rsidRPr="00B76CD6" w:rsidRDefault="001C352B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  <w:r w:rsidR="00D214AC" w:rsidRPr="00B76CD6">
        <w:rPr>
          <w:rFonts w:ascii="Times New Roman" w:hAnsi="Times New Roman" w:cs="Times New Roman"/>
          <w:sz w:val="24"/>
          <w:szCs w:val="24"/>
        </w:rPr>
        <w:t xml:space="preserve"> жалоб </w:t>
      </w:r>
      <w:r>
        <w:rPr>
          <w:rFonts w:ascii="Times New Roman" w:hAnsi="Times New Roman" w:cs="Times New Roman"/>
          <w:sz w:val="24"/>
          <w:szCs w:val="24"/>
        </w:rPr>
        <w:t>связана</w:t>
      </w:r>
      <w:r w:rsidR="00D214AC" w:rsidRPr="00B76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214AC" w:rsidRPr="00B76CD6">
        <w:rPr>
          <w:rFonts w:ascii="Times New Roman" w:hAnsi="Times New Roman" w:cs="Times New Roman"/>
          <w:sz w:val="24"/>
          <w:szCs w:val="24"/>
        </w:rPr>
        <w:t>закупк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214AC" w:rsidRPr="00B76CD6">
        <w:rPr>
          <w:rFonts w:ascii="Times New Roman" w:hAnsi="Times New Roman" w:cs="Times New Roman"/>
          <w:sz w:val="24"/>
          <w:szCs w:val="24"/>
        </w:rPr>
        <w:t>, проводимы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D214AC" w:rsidRPr="00B76CD6">
        <w:rPr>
          <w:rFonts w:ascii="Times New Roman" w:hAnsi="Times New Roman" w:cs="Times New Roman"/>
          <w:sz w:val="24"/>
          <w:szCs w:val="24"/>
        </w:rPr>
        <w:t xml:space="preserve"> в сфере приобретения лекарственных средств, медицинских изделий и медицинской техники,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разного вида </w:t>
      </w:r>
      <w:r w:rsidR="00D214AC" w:rsidRPr="00B76CD6">
        <w:rPr>
          <w:rFonts w:ascii="Times New Roman" w:hAnsi="Times New Roman" w:cs="Times New Roman"/>
          <w:sz w:val="24"/>
          <w:szCs w:val="24"/>
        </w:rPr>
        <w:t>строительной и ремонтной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14AC" w:rsidRPr="00B76CD6">
        <w:rPr>
          <w:rFonts w:ascii="Times New Roman" w:hAnsi="Times New Roman" w:cs="Times New Roman"/>
          <w:sz w:val="24"/>
          <w:szCs w:val="24"/>
        </w:rPr>
        <w:t xml:space="preserve"> в сфер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D214AC" w:rsidRPr="00B76CD6">
        <w:rPr>
          <w:rFonts w:ascii="Times New Roman" w:hAnsi="Times New Roman" w:cs="Times New Roman"/>
          <w:sz w:val="24"/>
          <w:szCs w:val="24"/>
        </w:rPr>
        <w:t>благоустройств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14AC" w:rsidRPr="00B76CD6">
        <w:rPr>
          <w:rFonts w:ascii="Times New Roman" w:hAnsi="Times New Roman" w:cs="Times New Roman"/>
          <w:sz w:val="24"/>
          <w:szCs w:val="24"/>
        </w:rPr>
        <w:t xml:space="preserve"> территорий.</w:t>
      </w:r>
    </w:p>
    <w:p w:rsidR="00D214AC" w:rsidRPr="00B76CD6" w:rsidRDefault="00D214AC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>В 202</w:t>
      </w:r>
      <w:r w:rsidR="009F2F38" w:rsidRPr="00B76CD6">
        <w:rPr>
          <w:rFonts w:ascii="Times New Roman" w:hAnsi="Times New Roman" w:cs="Times New Roman"/>
          <w:sz w:val="24"/>
          <w:szCs w:val="24"/>
        </w:rPr>
        <w:t>3</w:t>
      </w:r>
      <w:r w:rsidRPr="00B76CD6">
        <w:rPr>
          <w:rFonts w:ascii="Times New Roman" w:hAnsi="Times New Roman" w:cs="Times New Roman"/>
          <w:sz w:val="24"/>
          <w:szCs w:val="24"/>
        </w:rPr>
        <w:t xml:space="preserve"> году рассмотрено </w:t>
      </w:r>
      <w:r w:rsidR="009F2F38" w:rsidRPr="00B76CD6">
        <w:rPr>
          <w:rFonts w:ascii="Times New Roman" w:hAnsi="Times New Roman" w:cs="Times New Roman"/>
          <w:sz w:val="24"/>
          <w:szCs w:val="24"/>
        </w:rPr>
        <w:t>249</w:t>
      </w:r>
      <w:r w:rsidRPr="00B76CD6">
        <w:rPr>
          <w:rFonts w:ascii="Times New Roman" w:hAnsi="Times New Roman" w:cs="Times New Roman"/>
          <w:sz w:val="24"/>
          <w:szCs w:val="24"/>
        </w:rPr>
        <w:t xml:space="preserve"> обращений о включении участников закупок в реестр недобросовестных поставщиков</w:t>
      </w:r>
      <w:r w:rsidR="00202C69">
        <w:rPr>
          <w:rFonts w:ascii="Times New Roman" w:hAnsi="Times New Roman" w:cs="Times New Roman"/>
          <w:sz w:val="24"/>
          <w:szCs w:val="24"/>
        </w:rPr>
        <w:t xml:space="preserve">. </w:t>
      </w:r>
      <w:r w:rsidRPr="00B76CD6">
        <w:rPr>
          <w:rFonts w:ascii="Times New Roman" w:hAnsi="Times New Roman" w:cs="Times New Roman"/>
          <w:sz w:val="24"/>
          <w:szCs w:val="24"/>
        </w:rPr>
        <w:t>1</w:t>
      </w:r>
      <w:r w:rsidR="00202C69">
        <w:rPr>
          <w:rFonts w:ascii="Times New Roman" w:hAnsi="Times New Roman" w:cs="Times New Roman"/>
          <w:sz w:val="24"/>
          <w:szCs w:val="24"/>
        </w:rPr>
        <w:t>79</w:t>
      </w:r>
      <w:r w:rsidRPr="00B76CD6">
        <w:rPr>
          <w:rFonts w:ascii="Times New Roman" w:hAnsi="Times New Roman" w:cs="Times New Roman"/>
          <w:sz w:val="24"/>
          <w:szCs w:val="24"/>
        </w:rPr>
        <w:t xml:space="preserve"> хозяйствующих субъектов включено в реестр недобросовестных поставщиков</w:t>
      </w:r>
      <w:r w:rsidR="00202C69">
        <w:rPr>
          <w:rFonts w:ascii="Times New Roman" w:hAnsi="Times New Roman" w:cs="Times New Roman"/>
          <w:sz w:val="24"/>
          <w:szCs w:val="24"/>
        </w:rPr>
        <w:t>, из них 166</w:t>
      </w:r>
      <w:r w:rsidRPr="00B76CD6">
        <w:rPr>
          <w:rFonts w:ascii="Times New Roman" w:hAnsi="Times New Roman" w:cs="Times New Roman"/>
          <w:sz w:val="24"/>
          <w:szCs w:val="24"/>
        </w:rPr>
        <w:t xml:space="preserve"> на основании отказа заказчика от исполнения контракта.</w:t>
      </w:r>
    </w:p>
    <w:p w:rsidR="00D214AC" w:rsidRPr="00B76CD6" w:rsidRDefault="00D214AC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 xml:space="preserve">Основной причиной не включения в реестр недобросовестных поставщиков при одностороннем отказе заказчиков от исполнения контракта является недоказанность заказчиками </w:t>
      </w:r>
      <w:r w:rsidR="00626C8C">
        <w:rPr>
          <w:rFonts w:ascii="Times New Roman" w:hAnsi="Times New Roman" w:cs="Times New Roman"/>
          <w:sz w:val="24"/>
          <w:szCs w:val="24"/>
        </w:rPr>
        <w:t xml:space="preserve">недобросовестного поведения участниками, </w:t>
      </w:r>
      <w:r w:rsidRPr="00B76CD6">
        <w:rPr>
          <w:rFonts w:ascii="Times New Roman" w:hAnsi="Times New Roman" w:cs="Times New Roman"/>
          <w:sz w:val="24"/>
          <w:szCs w:val="24"/>
        </w:rPr>
        <w:t>существенности нарушений участниками закупок условий контрактов при их исполнении, а также несоблюдение заказчиками законодательно установленной процедуры расторжения контракта.</w:t>
      </w:r>
    </w:p>
    <w:p w:rsidR="00D214AC" w:rsidRPr="0077278A" w:rsidRDefault="00D214AC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>В 202</w:t>
      </w:r>
      <w:r w:rsidR="009F2F38" w:rsidRPr="00B76CD6">
        <w:rPr>
          <w:rFonts w:ascii="Times New Roman" w:hAnsi="Times New Roman" w:cs="Times New Roman"/>
          <w:sz w:val="24"/>
          <w:szCs w:val="24"/>
        </w:rPr>
        <w:t>3</w:t>
      </w:r>
      <w:r w:rsidRPr="00B76CD6">
        <w:rPr>
          <w:rFonts w:ascii="Times New Roman" w:hAnsi="Times New Roman" w:cs="Times New Roman"/>
          <w:sz w:val="24"/>
          <w:szCs w:val="24"/>
        </w:rPr>
        <w:t xml:space="preserve"> году  вынесено </w:t>
      </w:r>
      <w:r w:rsidR="007467C6">
        <w:rPr>
          <w:rFonts w:ascii="Times New Roman" w:hAnsi="Times New Roman" w:cs="Times New Roman"/>
          <w:sz w:val="24"/>
          <w:szCs w:val="24"/>
        </w:rPr>
        <w:t>4</w:t>
      </w:r>
      <w:r w:rsidR="009F2F38" w:rsidRPr="00B76CD6">
        <w:rPr>
          <w:rFonts w:ascii="Times New Roman" w:hAnsi="Times New Roman" w:cs="Times New Roman"/>
          <w:sz w:val="24"/>
          <w:szCs w:val="24"/>
        </w:rPr>
        <w:t>3</w:t>
      </w:r>
      <w:r w:rsidRPr="00B76CD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F2F38" w:rsidRPr="00B76CD6">
        <w:rPr>
          <w:rFonts w:ascii="Times New Roman" w:hAnsi="Times New Roman" w:cs="Times New Roman"/>
          <w:sz w:val="24"/>
          <w:szCs w:val="24"/>
        </w:rPr>
        <w:t>я</w:t>
      </w:r>
      <w:r w:rsidR="0077278A">
        <w:rPr>
          <w:rFonts w:ascii="Times New Roman" w:hAnsi="Times New Roman" w:cs="Times New Roman"/>
          <w:sz w:val="24"/>
          <w:szCs w:val="24"/>
        </w:rPr>
        <w:t xml:space="preserve"> о наложении штрафа</w:t>
      </w:r>
      <w:r w:rsidR="007467C6">
        <w:rPr>
          <w:rFonts w:ascii="Times New Roman" w:hAnsi="Times New Roman" w:cs="Times New Roman"/>
          <w:sz w:val="24"/>
          <w:szCs w:val="24"/>
        </w:rPr>
        <w:t xml:space="preserve"> на общую сумму 640 тыс. руб.</w:t>
      </w:r>
      <w:r w:rsidR="0077278A">
        <w:rPr>
          <w:rFonts w:ascii="Times New Roman" w:hAnsi="Times New Roman" w:cs="Times New Roman"/>
          <w:sz w:val="24"/>
          <w:szCs w:val="24"/>
        </w:rPr>
        <w:t>, 109 лицам назначено административное наказание в виде предупреждения.</w:t>
      </w:r>
    </w:p>
    <w:p w:rsidR="00D214AC" w:rsidRPr="00B76CD6" w:rsidRDefault="00D214AC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9F2F38" w:rsidRPr="00B76CD6">
        <w:rPr>
          <w:rFonts w:ascii="Times New Roman" w:hAnsi="Times New Roman" w:cs="Times New Roman"/>
          <w:sz w:val="24"/>
          <w:szCs w:val="24"/>
        </w:rPr>
        <w:t>3</w:t>
      </w:r>
      <w:r w:rsidRPr="00B76CD6">
        <w:rPr>
          <w:rFonts w:ascii="Times New Roman" w:hAnsi="Times New Roman" w:cs="Times New Roman"/>
          <w:sz w:val="24"/>
          <w:szCs w:val="24"/>
        </w:rPr>
        <w:t xml:space="preserve"> году в стадии судебного обжалования находи</w:t>
      </w:r>
      <w:r w:rsidR="001C352B">
        <w:rPr>
          <w:rFonts w:ascii="Times New Roman" w:hAnsi="Times New Roman" w:cs="Times New Roman"/>
          <w:sz w:val="24"/>
          <w:szCs w:val="24"/>
        </w:rPr>
        <w:t>лось</w:t>
      </w:r>
      <w:r w:rsidRPr="00B76CD6">
        <w:rPr>
          <w:rFonts w:ascii="Times New Roman" w:hAnsi="Times New Roman" w:cs="Times New Roman"/>
          <w:sz w:val="24"/>
          <w:szCs w:val="24"/>
        </w:rPr>
        <w:t xml:space="preserve"> </w:t>
      </w:r>
      <w:r w:rsidR="009F2F38" w:rsidRPr="00B76CD6">
        <w:rPr>
          <w:rFonts w:ascii="Times New Roman" w:hAnsi="Times New Roman" w:cs="Times New Roman"/>
          <w:sz w:val="24"/>
          <w:szCs w:val="24"/>
        </w:rPr>
        <w:t>3</w:t>
      </w:r>
      <w:r w:rsidRPr="00B76CD6">
        <w:rPr>
          <w:rFonts w:ascii="Times New Roman" w:hAnsi="Times New Roman" w:cs="Times New Roman"/>
          <w:sz w:val="24"/>
          <w:szCs w:val="24"/>
        </w:rPr>
        <w:t>6 решений; окончательны</w:t>
      </w:r>
      <w:r w:rsidR="001C352B">
        <w:rPr>
          <w:rFonts w:ascii="Times New Roman" w:hAnsi="Times New Roman" w:cs="Times New Roman"/>
          <w:sz w:val="24"/>
          <w:szCs w:val="24"/>
        </w:rPr>
        <w:t>е</w:t>
      </w:r>
      <w:r w:rsidRPr="00B76CD6">
        <w:rPr>
          <w:rFonts w:ascii="Times New Roman" w:hAnsi="Times New Roman" w:cs="Times New Roman"/>
          <w:sz w:val="24"/>
          <w:szCs w:val="24"/>
        </w:rPr>
        <w:t xml:space="preserve"> судебны</w:t>
      </w:r>
      <w:r w:rsidR="001C352B">
        <w:rPr>
          <w:rFonts w:ascii="Times New Roman" w:hAnsi="Times New Roman" w:cs="Times New Roman"/>
          <w:sz w:val="24"/>
          <w:szCs w:val="24"/>
        </w:rPr>
        <w:t>е</w:t>
      </w:r>
      <w:r w:rsidRPr="00B76CD6">
        <w:rPr>
          <w:rFonts w:ascii="Times New Roman" w:hAnsi="Times New Roman" w:cs="Times New Roman"/>
          <w:sz w:val="24"/>
          <w:szCs w:val="24"/>
        </w:rPr>
        <w:t xml:space="preserve"> акт</w:t>
      </w:r>
      <w:r w:rsidR="001C352B">
        <w:rPr>
          <w:rFonts w:ascii="Times New Roman" w:hAnsi="Times New Roman" w:cs="Times New Roman"/>
          <w:sz w:val="24"/>
          <w:szCs w:val="24"/>
        </w:rPr>
        <w:t>ы</w:t>
      </w:r>
      <w:r w:rsidRPr="00B76CD6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1C352B">
        <w:rPr>
          <w:rFonts w:ascii="Times New Roman" w:hAnsi="Times New Roman" w:cs="Times New Roman"/>
          <w:sz w:val="24"/>
          <w:szCs w:val="24"/>
        </w:rPr>
        <w:t>ы</w:t>
      </w:r>
      <w:r w:rsidRPr="00B76CD6">
        <w:rPr>
          <w:rFonts w:ascii="Times New Roman" w:hAnsi="Times New Roman" w:cs="Times New Roman"/>
          <w:sz w:val="24"/>
          <w:szCs w:val="24"/>
        </w:rPr>
        <w:t xml:space="preserve"> по </w:t>
      </w:r>
      <w:r w:rsidR="009F2F38" w:rsidRPr="00B76CD6">
        <w:rPr>
          <w:rFonts w:ascii="Times New Roman" w:hAnsi="Times New Roman" w:cs="Times New Roman"/>
          <w:sz w:val="24"/>
          <w:szCs w:val="24"/>
        </w:rPr>
        <w:t>24</w:t>
      </w:r>
      <w:r w:rsidRPr="00B76CD6">
        <w:rPr>
          <w:rFonts w:ascii="Times New Roman" w:hAnsi="Times New Roman" w:cs="Times New Roman"/>
          <w:sz w:val="24"/>
          <w:szCs w:val="24"/>
        </w:rPr>
        <w:t xml:space="preserve"> делам, </w:t>
      </w:r>
      <w:r w:rsidR="001C352B">
        <w:rPr>
          <w:rFonts w:ascii="Times New Roman" w:hAnsi="Times New Roman" w:cs="Times New Roman"/>
          <w:sz w:val="24"/>
          <w:szCs w:val="24"/>
        </w:rPr>
        <w:t xml:space="preserve">по </w:t>
      </w:r>
      <w:r w:rsidR="009F2F38" w:rsidRPr="00B76CD6">
        <w:rPr>
          <w:rFonts w:ascii="Times New Roman" w:hAnsi="Times New Roman" w:cs="Times New Roman"/>
          <w:sz w:val="24"/>
          <w:szCs w:val="24"/>
        </w:rPr>
        <w:t xml:space="preserve">22 из </w:t>
      </w:r>
      <w:r w:rsidRPr="00B76CD6">
        <w:rPr>
          <w:rFonts w:ascii="Times New Roman" w:hAnsi="Times New Roman" w:cs="Times New Roman"/>
          <w:sz w:val="24"/>
          <w:szCs w:val="24"/>
        </w:rPr>
        <w:t>которы</w:t>
      </w:r>
      <w:r w:rsidR="009F2F38" w:rsidRPr="00B76CD6">
        <w:rPr>
          <w:rFonts w:ascii="Times New Roman" w:hAnsi="Times New Roman" w:cs="Times New Roman"/>
          <w:sz w:val="24"/>
          <w:szCs w:val="24"/>
        </w:rPr>
        <w:t>х</w:t>
      </w:r>
      <w:r w:rsidRPr="00B76CD6">
        <w:rPr>
          <w:rFonts w:ascii="Times New Roman" w:hAnsi="Times New Roman" w:cs="Times New Roman"/>
          <w:sz w:val="24"/>
          <w:szCs w:val="24"/>
        </w:rPr>
        <w:t xml:space="preserve"> в удовлетворении требований заявителей отказано в полном объеме.</w:t>
      </w:r>
    </w:p>
    <w:p w:rsidR="00D214AC" w:rsidRPr="00B76CD6" w:rsidRDefault="00D214AC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>Преимущественно обжал</w:t>
      </w:r>
      <w:r w:rsidR="001C352B">
        <w:rPr>
          <w:rFonts w:ascii="Times New Roman" w:hAnsi="Times New Roman" w:cs="Times New Roman"/>
          <w:sz w:val="24"/>
          <w:szCs w:val="24"/>
        </w:rPr>
        <w:t>ованы</w:t>
      </w:r>
      <w:r w:rsidRPr="00B76CD6">
        <w:rPr>
          <w:rFonts w:ascii="Times New Roman" w:hAnsi="Times New Roman" w:cs="Times New Roman"/>
          <w:sz w:val="24"/>
          <w:szCs w:val="24"/>
        </w:rPr>
        <w:t xml:space="preserve"> решения, принятые по итогам рассмотрения обращений заказчиков о включении участников закупок в реестр недобросовестных поставщиков.</w:t>
      </w:r>
    </w:p>
    <w:p w:rsidR="00D214AC" w:rsidRPr="00B76CD6" w:rsidRDefault="00D214AC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>Продолжается работа  по выявлению нарушений при осуществлении закупок, проводимых в рамках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1C352B">
        <w:rPr>
          <w:rFonts w:ascii="Times New Roman" w:hAnsi="Times New Roman" w:cs="Times New Roman"/>
          <w:sz w:val="24"/>
          <w:szCs w:val="24"/>
        </w:rPr>
        <w:t>.</w:t>
      </w:r>
      <w:r w:rsidRPr="00B76CD6">
        <w:rPr>
          <w:rFonts w:ascii="Times New Roman" w:hAnsi="Times New Roman" w:cs="Times New Roman"/>
          <w:sz w:val="24"/>
          <w:szCs w:val="24"/>
        </w:rPr>
        <w:t xml:space="preserve"> </w:t>
      </w:r>
      <w:r w:rsidR="001C352B">
        <w:rPr>
          <w:rFonts w:ascii="Times New Roman" w:hAnsi="Times New Roman" w:cs="Times New Roman"/>
          <w:sz w:val="24"/>
          <w:szCs w:val="24"/>
        </w:rPr>
        <w:t>Т</w:t>
      </w:r>
      <w:r w:rsidRPr="00B76CD6">
        <w:rPr>
          <w:rFonts w:ascii="Times New Roman" w:hAnsi="Times New Roman" w:cs="Times New Roman"/>
          <w:sz w:val="24"/>
          <w:szCs w:val="24"/>
        </w:rPr>
        <w:t>ак в 202</w:t>
      </w:r>
      <w:r w:rsidR="009F2F38" w:rsidRPr="00B76CD6">
        <w:rPr>
          <w:rFonts w:ascii="Times New Roman" w:hAnsi="Times New Roman" w:cs="Times New Roman"/>
          <w:sz w:val="24"/>
          <w:szCs w:val="24"/>
        </w:rPr>
        <w:t>3</w:t>
      </w:r>
      <w:r w:rsidRPr="00B76CD6">
        <w:rPr>
          <w:rFonts w:ascii="Times New Roman" w:hAnsi="Times New Roman" w:cs="Times New Roman"/>
          <w:sz w:val="24"/>
          <w:szCs w:val="24"/>
        </w:rPr>
        <w:t xml:space="preserve"> году Управлением рассмотрено </w:t>
      </w:r>
      <w:r w:rsidR="009F2F38" w:rsidRPr="00B76CD6">
        <w:rPr>
          <w:rFonts w:ascii="Times New Roman" w:hAnsi="Times New Roman" w:cs="Times New Roman"/>
          <w:sz w:val="24"/>
          <w:szCs w:val="24"/>
        </w:rPr>
        <w:t>26</w:t>
      </w:r>
      <w:r w:rsidRPr="00B76CD6">
        <w:rPr>
          <w:rFonts w:ascii="Times New Roman" w:hAnsi="Times New Roman" w:cs="Times New Roman"/>
          <w:sz w:val="24"/>
          <w:szCs w:val="24"/>
        </w:rPr>
        <w:t xml:space="preserve"> жалоб на действия субъектов контроля Тульского УФАС России при осуществлении закупок, проводимых в рамках национальных проектов. По результатам рассмотрения указанных жалоб выдано </w:t>
      </w:r>
      <w:r w:rsidR="009F2F38" w:rsidRPr="00B76CD6">
        <w:rPr>
          <w:rFonts w:ascii="Times New Roman" w:hAnsi="Times New Roman" w:cs="Times New Roman"/>
          <w:sz w:val="24"/>
          <w:szCs w:val="24"/>
        </w:rPr>
        <w:t>6</w:t>
      </w:r>
      <w:r w:rsidRPr="00B76CD6">
        <w:rPr>
          <w:rFonts w:ascii="Times New Roman" w:hAnsi="Times New Roman" w:cs="Times New Roman"/>
          <w:sz w:val="24"/>
          <w:szCs w:val="24"/>
        </w:rPr>
        <w:t xml:space="preserve"> обязательных для исполнения предписани</w:t>
      </w:r>
      <w:r w:rsidR="009F2F38" w:rsidRPr="00B76CD6">
        <w:rPr>
          <w:rFonts w:ascii="Times New Roman" w:hAnsi="Times New Roman" w:cs="Times New Roman"/>
          <w:sz w:val="24"/>
          <w:szCs w:val="24"/>
        </w:rPr>
        <w:t>й</w:t>
      </w:r>
      <w:r w:rsidRPr="00B76CD6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закона о контрактной системе в сфере закупок.</w:t>
      </w:r>
    </w:p>
    <w:p w:rsidR="00D214AC" w:rsidRPr="00B76CD6" w:rsidRDefault="00D214AC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>Также в 202</w:t>
      </w:r>
      <w:r w:rsidR="009F2F38" w:rsidRPr="00B76CD6">
        <w:rPr>
          <w:rFonts w:ascii="Times New Roman" w:hAnsi="Times New Roman" w:cs="Times New Roman"/>
          <w:sz w:val="24"/>
          <w:szCs w:val="24"/>
        </w:rPr>
        <w:t>3</w:t>
      </w:r>
      <w:r w:rsidRPr="00B76CD6">
        <w:rPr>
          <w:rFonts w:ascii="Times New Roman" w:hAnsi="Times New Roman" w:cs="Times New Roman"/>
          <w:sz w:val="24"/>
          <w:szCs w:val="24"/>
        </w:rPr>
        <w:t xml:space="preserve"> году в рамках поручени</w:t>
      </w:r>
      <w:r w:rsidR="001C352B">
        <w:rPr>
          <w:rFonts w:ascii="Times New Roman" w:hAnsi="Times New Roman" w:cs="Times New Roman"/>
          <w:sz w:val="24"/>
          <w:szCs w:val="24"/>
        </w:rPr>
        <w:t>й</w:t>
      </w:r>
      <w:r w:rsidRPr="00B76CD6">
        <w:rPr>
          <w:rFonts w:ascii="Times New Roman" w:hAnsi="Times New Roman" w:cs="Times New Roman"/>
          <w:sz w:val="24"/>
          <w:szCs w:val="24"/>
        </w:rPr>
        <w:t xml:space="preserve"> ФАС России Управлением инициативно проведено 60 </w:t>
      </w:r>
      <w:r w:rsidR="009F2F38" w:rsidRPr="00B76CD6">
        <w:rPr>
          <w:rFonts w:ascii="Times New Roman" w:hAnsi="Times New Roman" w:cs="Times New Roman"/>
          <w:sz w:val="24"/>
          <w:szCs w:val="24"/>
        </w:rPr>
        <w:t>внеплановых проверок</w:t>
      </w:r>
      <w:r w:rsidRPr="00B76CD6">
        <w:rPr>
          <w:rFonts w:ascii="Times New Roman" w:hAnsi="Times New Roman" w:cs="Times New Roman"/>
          <w:sz w:val="24"/>
          <w:szCs w:val="24"/>
        </w:rPr>
        <w:t xml:space="preserve">, </w:t>
      </w:r>
      <w:r w:rsidR="009F2F38" w:rsidRPr="00B76CD6">
        <w:rPr>
          <w:rFonts w:ascii="Times New Roman" w:hAnsi="Times New Roman" w:cs="Times New Roman"/>
          <w:sz w:val="24"/>
          <w:szCs w:val="24"/>
        </w:rPr>
        <w:t xml:space="preserve">по итогам которых выявлено 8 закупок, проведенных </w:t>
      </w:r>
      <w:r w:rsidRPr="00B76CD6">
        <w:rPr>
          <w:rFonts w:ascii="Times New Roman" w:hAnsi="Times New Roman" w:cs="Times New Roman"/>
          <w:sz w:val="24"/>
          <w:szCs w:val="24"/>
        </w:rPr>
        <w:t>с нарушением требований законодательства о контрактной системе в сфере закупок</w:t>
      </w:r>
      <w:r w:rsidR="009F2F38" w:rsidRPr="00B76CD6">
        <w:rPr>
          <w:rFonts w:ascii="Times New Roman" w:hAnsi="Times New Roman" w:cs="Times New Roman"/>
          <w:sz w:val="24"/>
          <w:szCs w:val="24"/>
        </w:rPr>
        <w:t>, выдано 2 предписания</w:t>
      </w:r>
      <w:r w:rsidRPr="00B76CD6">
        <w:rPr>
          <w:rFonts w:ascii="Times New Roman" w:hAnsi="Times New Roman" w:cs="Times New Roman"/>
          <w:sz w:val="24"/>
          <w:szCs w:val="24"/>
        </w:rPr>
        <w:t>.</w:t>
      </w:r>
    </w:p>
    <w:p w:rsidR="00D214AC" w:rsidRPr="00B76CD6" w:rsidRDefault="001C352B" w:rsidP="00B76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D214AC" w:rsidRPr="00B76CD6">
        <w:rPr>
          <w:rFonts w:ascii="Times New Roman" w:hAnsi="Times New Roman" w:cs="Times New Roman"/>
          <w:sz w:val="24"/>
          <w:szCs w:val="24"/>
        </w:rPr>
        <w:t xml:space="preserve"> показал, что основная часть закупок, проведенных с нарушением требований законодательства, приходится на закупки в рамках национальных проектов «Демография», «Здравоохранение», </w:t>
      </w:r>
      <w:r w:rsidR="009F2F38" w:rsidRPr="00B76CD6">
        <w:rPr>
          <w:rFonts w:ascii="Times New Roman" w:hAnsi="Times New Roman" w:cs="Times New Roman"/>
          <w:sz w:val="24"/>
          <w:szCs w:val="24"/>
        </w:rPr>
        <w:t xml:space="preserve">«Культура», </w:t>
      </w:r>
      <w:r w:rsidR="00D214AC" w:rsidRPr="00B76CD6">
        <w:rPr>
          <w:rFonts w:ascii="Times New Roman" w:hAnsi="Times New Roman" w:cs="Times New Roman"/>
          <w:sz w:val="24"/>
          <w:szCs w:val="24"/>
        </w:rPr>
        <w:t>«Жилье и городская среда», «</w:t>
      </w:r>
      <w:r w:rsidR="009F2F38" w:rsidRPr="00B76CD6">
        <w:rPr>
          <w:rFonts w:ascii="Times New Roman" w:hAnsi="Times New Roman" w:cs="Times New Roman"/>
          <w:sz w:val="24"/>
          <w:szCs w:val="24"/>
        </w:rPr>
        <w:t>Туризм и индустрия гостеприимства</w:t>
      </w:r>
      <w:r w:rsidR="00D214AC" w:rsidRPr="00B76CD6">
        <w:rPr>
          <w:rFonts w:ascii="Times New Roman" w:hAnsi="Times New Roman" w:cs="Times New Roman"/>
          <w:sz w:val="24"/>
          <w:szCs w:val="24"/>
        </w:rPr>
        <w:t>».</w:t>
      </w:r>
    </w:p>
    <w:p w:rsidR="000A0FB4" w:rsidRDefault="00D214AC" w:rsidP="000A0F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 xml:space="preserve">Все должностные лица, виновные в нарушении законодательства о контрактной системе привлечены </w:t>
      </w:r>
      <w:proofErr w:type="gramStart"/>
      <w:r w:rsidRPr="00B76CD6">
        <w:rPr>
          <w:rFonts w:ascii="Times New Roman" w:hAnsi="Times New Roman" w:cs="Times New Roman"/>
          <w:sz w:val="24"/>
          <w:szCs w:val="24"/>
        </w:rPr>
        <w:t>Тульским</w:t>
      </w:r>
      <w:proofErr w:type="gramEnd"/>
      <w:r w:rsidRPr="00B76CD6">
        <w:rPr>
          <w:rFonts w:ascii="Times New Roman" w:hAnsi="Times New Roman" w:cs="Times New Roman"/>
          <w:sz w:val="24"/>
          <w:szCs w:val="24"/>
        </w:rPr>
        <w:t xml:space="preserve"> УФАС России к административной ответственности.</w:t>
      </w:r>
      <w:r w:rsidR="000A0FB4" w:rsidRPr="000A0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FB4" w:rsidRPr="00B76CD6" w:rsidRDefault="000A0FB4" w:rsidP="000A0F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D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C352B">
        <w:rPr>
          <w:rFonts w:ascii="Times New Roman" w:hAnsi="Times New Roman" w:cs="Times New Roman"/>
          <w:sz w:val="24"/>
          <w:szCs w:val="24"/>
        </w:rPr>
        <w:t>наи</w:t>
      </w:r>
      <w:r w:rsidRPr="00B76CD6">
        <w:rPr>
          <w:rFonts w:ascii="Times New Roman" w:hAnsi="Times New Roman" w:cs="Times New Roman"/>
          <w:sz w:val="24"/>
          <w:szCs w:val="24"/>
        </w:rPr>
        <w:t xml:space="preserve">более эффективного контроля и оперативного реагирования Управлением налажено взаимодействие с прокуратурой Тульской области (заключено соглашение о взаимодействии), Следственным управлением Следственного комитета России по Тульской области, УМВД России по Тульской области, УФСБ России по Тульской области, </w:t>
      </w:r>
      <w:proofErr w:type="spellStart"/>
      <w:r w:rsidRPr="00B76CD6">
        <w:rPr>
          <w:rFonts w:ascii="Times New Roman" w:hAnsi="Times New Roman" w:cs="Times New Roman"/>
          <w:sz w:val="24"/>
          <w:szCs w:val="24"/>
        </w:rPr>
        <w:t>Росгвардией</w:t>
      </w:r>
      <w:proofErr w:type="spellEnd"/>
      <w:r w:rsidRPr="00B76CD6">
        <w:rPr>
          <w:rFonts w:ascii="Times New Roman" w:hAnsi="Times New Roman" w:cs="Times New Roman"/>
          <w:sz w:val="24"/>
          <w:szCs w:val="24"/>
        </w:rPr>
        <w:t>.</w:t>
      </w:r>
    </w:p>
    <w:p w:rsidR="0077278A" w:rsidRPr="000A0FB4" w:rsidRDefault="000A0FB4" w:rsidP="0077278A">
      <w:pPr>
        <w:tabs>
          <w:tab w:val="left" w:pos="709"/>
          <w:tab w:val="left" w:pos="1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B4">
        <w:rPr>
          <w:rFonts w:ascii="Times New Roman" w:hAnsi="Times New Roman" w:cs="Times New Roman"/>
          <w:sz w:val="24"/>
          <w:szCs w:val="24"/>
        </w:rPr>
        <w:t xml:space="preserve">К важным достижениям управления в 2023 году следует отнести </w:t>
      </w:r>
      <w:r w:rsidR="0010738A">
        <w:rPr>
          <w:rFonts w:ascii="Times New Roman" w:hAnsi="Times New Roman" w:cs="Times New Roman"/>
          <w:sz w:val="24"/>
          <w:szCs w:val="24"/>
        </w:rPr>
        <w:t xml:space="preserve">рассмотрение ФАС России </w:t>
      </w:r>
      <w:r w:rsidRPr="000A0FB4">
        <w:rPr>
          <w:rFonts w:ascii="Times New Roman" w:hAnsi="Times New Roman" w:cs="Times New Roman"/>
          <w:sz w:val="24"/>
          <w:szCs w:val="24"/>
        </w:rPr>
        <w:t>включени</w:t>
      </w:r>
      <w:r w:rsidR="0010738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дела Тульского УФАС России </w:t>
      </w:r>
      <w:r w:rsidRPr="000A0FB4">
        <w:rPr>
          <w:rFonts w:ascii="Times New Roman" w:hAnsi="Times New Roman" w:cs="Times New Roman"/>
          <w:sz w:val="24"/>
          <w:szCs w:val="24"/>
        </w:rPr>
        <w:t>в перечень лучших (прецедентных) дел</w:t>
      </w:r>
      <w:r w:rsidR="001C352B">
        <w:rPr>
          <w:rFonts w:ascii="Times New Roman" w:hAnsi="Times New Roman" w:cs="Times New Roman"/>
          <w:sz w:val="24"/>
          <w:szCs w:val="24"/>
        </w:rPr>
        <w:t xml:space="preserve"> на Федеральном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78A" w:rsidRPr="0077278A" w:rsidRDefault="0077278A" w:rsidP="0077278A">
      <w:pPr>
        <w:tabs>
          <w:tab w:val="left" w:pos="709"/>
          <w:tab w:val="left" w:pos="1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78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«Северо-восточная транспортная компания» обратилось в Управление Федеральной антимонопольной службы по Тульской области с жалобой на действия комиссии уполномоченного органа по осуществлению закупок для нужд муниципального казенного учреждения "Центр организации дорожно-транспортной деятельности города Тулы" (далее – аукционная комиссия) при рассмотрении заявок в рамках электронного аукциона на выполнение работ, связанных с осуществлением регулярных перевозок пассажиров и багажа автомобильным транспортом</w:t>
      </w:r>
      <w:proofErr w:type="gramEnd"/>
      <w:r w:rsidRPr="0077278A">
        <w:rPr>
          <w:rFonts w:ascii="Times New Roman" w:hAnsi="Times New Roman" w:cs="Times New Roman"/>
          <w:sz w:val="24"/>
          <w:szCs w:val="24"/>
        </w:rPr>
        <w:t xml:space="preserve"> (автобус) по регулируемым тарифам в границах муниципального образования город Тула </w:t>
      </w:r>
      <w:r w:rsidRPr="0077278A">
        <w:rPr>
          <w:rFonts w:ascii="Times New Roman" w:hAnsi="Times New Roman" w:cs="Times New Roman"/>
          <w:sz w:val="24"/>
          <w:szCs w:val="24"/>
        </w:rPr>
        <w:lastRenderedPageBreak/>
        <w:t xml:space="preserve">по автобусным маршрутам №№ 27, 40, 182 (закупка № 0166300024722000447) (начальная (максимальная) цена контракта 38 736 400,28  рублей). </w:t>
      </w:r>
    </w:p>
    <w:p w:rsidR="0077278A" w:rsidRPr="0077278A" w:rsidRDefault="0077278A" w:rsidP="0077278A">
      <w:pPr>
        <w:tabs>
          <w:tab w:val="left" w:pos="709"/>
          <w:tab w:val="left" w:pos="1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78A">
        <w:rPr>
          <w:rFonts w:ascii="Times New Roman" w:hAnsi="Times New Roman" w:cs="Times New Roman"/>
          <w:sz w:val="24"/>
          <w:szCs w:val="24"/>
        </w:rPr>
        <w:t>В извещении о закупке заказчик в соответствии с частью 2.1 статьи 31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 установил дополнительное требование к участникам аукциона об исполнении (с учетом правопреемства) в течение трех лет до даты подачи заявки на участие в закупке контракта или договора, заключенного</w:t>
      </w:r>
      <w:proofErr w:type="gramEnd"/>
      <w:r w:rsidRPr="007727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78A">
        <w:rPr>
          <w:rFonts w:ascii="Times New Roman" w:hAnsi="Times New Roman" w:cs="Times New Roman"/>
          <w:sz w:val="24"/>
          <w:szCs w:val="24"/>
        </w:rPr>
        <w:t>в соответствии с Законом о закупках при условии исполнения таким участником закупки требований об уплате</w:t>
      </w:r>
      <w:proofErr w:type="gramEnd"/>
      <w:r w:rsidRPr="0077278A">
        <w:rPr>
          <w:rFonts w:ascii="Times New Roman" w:hAnsi="Times New Roman" w:cs="Times New Roman"/>
          <w:sz w:val="24"/>
          <w:szCs w:val="24"/>
        </w:rPr>
        <w:t xml:space="preserve"> неустоек (штрафов, пеней), предъявленных при исполнении таких контракта, договора. Стоимость исполненных обязательств по таким контракт</w:t>
      </w:r>
      <w:r w:rsidR="00626C8C">
        <w:rPr>
          <w:rFonts w:ascii="Times New Roman" w:hAnsi="Times New Roman" w:cs="Times New Roman"/>
          <w:sz w:val="24"/>
          <w:szCs w:val="24"/>
        </w:rPr>
        <w:t>ам</w:t>
      </w:r>
      <w:r w:rsidRPr="0077278A">
        <w:rPr>
          <w:rFonts w:ascii="Times New Roman" w:hAnsi="Times New Roman" w:cs="Times New Roman"/>
          <w:sz w:val="24"/>
          <w:szCs w:val="24"/>
        </w:rPr>
        <w:t>, договору должна составлять не менее двадцати процентов начальной (максимальной) цены контракта, а также перечень документов и сведений, подтверждающих наличие такого опыта, предусмотренный пунктом 4 Постановления Правительства РФ от 29 декабря 2021 г. N 2571 «О дополнительных треб</w:t>
      </w:r>
      <w:r>
        <w:rPr>
          <w:rFonts w:ascii="Times New Roman" w:hAnsi="Times New Roman" w:cs="Times New Roman"/>
          <w:sz w:val="24"/>
          <w:szCs w:val="24"/>
        </w:rPr>
        <w:t>ованиях к участникам закупки …».</w:t>
      </w:r>
    </w:p>
    <w:p w:rsidR="0077278A" w:rsidRPr="0077278A" w:rsidRDefault="0077278A" w:rsidP="0077278A">
      <w:pPr>
        <w:tabs>
          <w:tab w:val="left" w:pos="709"/>
          <w:tab w:val="left" w:pos="1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78A">
        <w:rPr>
          <w:rFonts w:ascii="Times New Roman" w:hAnsi="Times New Roman" w:cs="Times New Roman"/>
          <w:sz w:val="24"/>
          <w:szCs w:val="24"/>
        </w:rPr>
        <w:t>Согласно материалам дела, в целях исполнения указанного требования ООО «СВТК», подавая заявку на участие в электронном аукционе, в качестве подтверждения своего опыта исполнения контракта, представило государственный контракт № 0136200003619008385001 на выполнение работ, связанных с осуществлением регулярных перевозок пассажиров и багажа автомобильным транспортом по регулируемым тарифам от 21.01.2020 (реестровый номер контракта 26950232949 20 000017), сопоставимый с предметом закупки, заключенный на сумму 694</w:t>
      </w:r>
      <w:proofErr w:type="gramEnd"/>
      <w:r w:rsidRPr="007727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78A">
        <w:rPr>
          <w:rFonts w:ascii="Times New Roman" w:hAnsi="Times New Roman" w:cs="Times New Roman"/>
          <w:sz w:val="24"/>
          <w:szCs w:val="24"/>
        </w:rPr>
        <w:t>517 285,00 рублей (с учетом дополнительных соглашений – на сумму 679 396 769,00 рублей) со сроком оказания услуг с февраля 2020 года по декабрь 2026 года, а также акты приемки выполненных работ по контракту № 0136200003619008385001 от 21.01.2020, датированные с марта 2020 года  по июнь 2022 года, на сумму 217 941 845,27 рублей, что составляет 27,9 % от начальной (максимальной) цены такого контракта.</w:t>
      </w:r>
      <w:proofErr w:type="gramEnd"/>
    </w:p>
    <w:p w:rsidR="0077278A" w:rsidRPr="0077278A" w:rsidRDefault="0077278A" w:rsidP="0077278A">
      <w:pPr>
        <w:tabs>
          <w:tab w:val="left" w:pos="709"/>
          <w:tab w:val="left" w:pos="1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78A">
        <w:rPr>
          <w:rFonts w:ascii="Times New Roman" w:hAnsi="Times New Roman" w:cs="Times New Roman"/>
          <w:sz w:val="24"/>
          <w:szCs w:val="24"/>
        </w:rPr>
        <w:t>Посчитав, что обществом представлены сведения о контракте, находящемся в процессе исполнения, со сроком исполнения по декабрь 2026 года, аукционная комиссия отклонила заявку ООО «СВТК» на основании пункта 3 части 12 статьи 48 Закона N 44-ФЗ в связи с несоответствием участника закупки требованиям, установленным в извещении об осуществлении закупки в соответствии с частью 2.1 статьи 31 Закона N 44-ФЗ, что отражено</w:t>
      </w:r>
      <w:proofErr w:type="gramEnd"/>
      <w:r w:rsidRPr="0077278A">
        <w:rPr>
          <w:rFonts w:ascii="Times New Roman" w:hAnsi="Times New Roman" w:cs="Times New Roman"/>
          <w:sz w:val="24"/>
          <w:szCs w:val="24"/>
        </w:rPr>
        <w:t xml:space="preserve"> в протоколе подведения итогов определения поставщика (подрядчика, исполнителя) № 0166300024722000447 от 10.08.2022.</w:t>
      </w:r>
    </w:p>
    <w:p w:rsidR="0077278A" w:rsidRPr="0077278A" w:rsidRDefault="0077278A" w:rsidP="0077278A">
      <w:pPr>
        <w:tabs>
          <w:tab w:val="left" w:pos="709"/>
          <w:tab w:val="left" w:pos="1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78A">
        <w:rPr>
          <w:rFonts w:ascii="Times New Roman" w:hAnsi="Times New Roman" w:cs="Times New Roman"/>
          <w:sz w:val="24"/>
          <w:szCs w:val="24"/>
        </w:rPr>
        <w:t xml:space="preserve">Признавая жалобу необоснованной, </w:t>
      </w:r>
      <w:r w:rsidR="008B2DAA">
        <w:rPr>
          <w:rFonts w:ascii="Times New Roman" w:hAnsi="Times New Roman" w:cs="Times New Roman"/>
          <w:sz w:val="24"/>
          <w:szCs w:val="24"/>
        </w:rPr>
        <w:t>У</w:t>
      </w:r>
      <w:r w:rsidRPr="0077278A">
        <w:rPr>
          <w:rFonts w:ascii="Times New Roman" w:hAnsi="Times New Roman" w:cs="Times New Roman"/>
          <w:sz w:val="24"/>
          <w:szCs w:val="24"/>
        </w:rPr>
        <w:t>правление исходило из того, что:</w:t>
      </w:r>
    </w:p>
    <w:p w:rsidR="0077278A" w:rsidRPr="0077278A" w:rsidRDefault="0077278A" w:rsidP="0077278A">
      <w:pPr>
        <w:tabs>
          <w:tab w:val="left" w:pos="709"/>
          <w:tab w:val="left" w:pos="1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78A">
        <w:rPr>
          <w:rFonts w:ascii="Times New Roman" w:hAnsi="Times New Roman" w:cs="Times New Roman"/>
          <w:sz w:val="24"/>
          <w:szCs w:val="24"/>
        </w:rPr>
        <w:t xml:space="preserve">- несмотря на то, что стоимость выполненных обществом обязательств по контракту составляла более 20% от начальной максимальной цены контракта, такой контракт не может подтвердить опыт, поскольку в закупке с универсальной </w:t>
      </w:r>
      <w:proofErr w:type="spellStart"/>
      <w:r w:rsidRPr="0077278A">
        <w:rPr>
          <w:rFonts w:ascii="Times New Roman" w:hAnsi="Times New Roman" w:cs="Times New Roman"/>
          <w:sz w:val="24"/>
          <w:szCs w:val="24"/>
        </w:rPr>
        <w:t>предквалификацией</w:t>
      </w:r>
      <w:proofErr w:type="spellEnd"/>
      <w:r w:rsidRPr="0077278A">
        <w:rPr>
          <w:rFonts w:ascii="Times New Roman" w:hAnsi="Times New Roman" w:cs="Times New Roman"/>
          <w:sz w:val="24"/>
          <w:szCs w:val="24"/>
        </w:rPr>
        <w:t xml:space="preserve"> надлежащим подтверждением соответствующего опыта, с учетом положений подпункта "в" пункта 4 Постановления N 2571, может являться только контракт, обязательства по которому прекращены его исполнением;</w:t>
      </w:r>
      <w:proofErr w:type="gramEnd"/>
    </w:p>
    <w:p w:rsidR="0077278A" w:rsidRPr="0077278A" w:rsidRDefault="0077278A" w:rsidP="0077278A">
      <w:pPr>
        <w:tabs>
          <w:tab w:val="left" w:pos="709"/>
          <w:tab w:val="left" w:pos="1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78A">
        <w:rPr>
          <w:rFonts w:ascii="Times New Roman" w:hAnsi="Times New Roman" w:cs="Times New Roman"/>
          <w:sz w:val="24"/>
          <w:szCs w:val="24"/>
        </w:rPr>
        <w:lastRenderedPageBreak/>
        <w:t>- частичное исполнение договора/контракта не может отождествляться с понятием "исполненный контракт/договор", поскольку исполненным может считаться только такой договор, обязательства по которому выполнены в полном объеме или прекращены сторонами, а само по себе совершение определенных действий, связанных с исполнением обязательства, еще не свидетельствует о полном исполнении договора/контракта;</w:t>
      </w:r>
    </w:p>
    <w:p w:rsidR="0077278A" w:rsidRPr="0077278A" w:rsidRDefault="0077278A" w:rsidP="0077278A">
      <w:pPr>
        <w:tabs>
          <w:tab w:val="left" w:pos="709"/>
          <w:tab w:val="left" w:pos="1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78A">
        <w:rPr>
          <w:rFonts w:ascii="Times New Roman" w:hAnsi="Times New Roman" w:cs="Times New Roman"/>
          <w:sz w:val="24"/>
          <w:szCs w:val="24"/>
        </w:rPr>
        <w:t>- при оценке наличия опыта у участника закупки комиссии необходимо учитывать не факт исполнения обязательств по контракту (совершения определенных действий, составляющих предмет соответствующего контракта) и их объем, а наличие факта исполнения контракта.</w:t>
      </w:r>
    </w:p>
    <w:p w:rsidR="0077278A" w:rsidRPr="0077278A" w:rsidRDefault="0077278A" w:rsidP="0077278A">
      <w:pPr>
        <w:tabs>
          <w:tab w:val="left" w:pos="709"/>
          <w:tab w:val="left" w:pos="1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78A">
        <w:rPr>
          <w:rFonts w:ascii="Times New Roman" w:hAnsi="Times New Roman" w:cs="Times New Roman"/>
          <w:sz w:val="24"/>
          <w:szCs w:val="24"/>
        </w:rPr>
        <w:t xml:space="preserve">Арбитражные суды четырех инстанций подтвердили позицию Управления (определение Верховного суда Российской Федерации № 310-ЭС23-25607 от 26.12.2023). В связи с завершением процедуры судебного обжалования, решение по делу вступило в законную силу в отчетном периоде. </w:t>
      </w:r>
    </w:p>
    <w:p w:rsidR="0077278A" w:rsidRPr="0077278A" w:rsidRDefault="0077278A" w:rsidP="0077278A">
      <w:pPr>
        <w:tabs>
          <w:tab w:val="left" w:pos="0"/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78A">
        <w:rPr>
          <w:rFonts w:ascii="Times New Roman" w:hAnsi="Times New Roman" w:cs="Times New Roman"/>
          <w:bCs/>
          <w:sz w:val="24"/>
          <w:szCs w:val="24"/>
        </w:rPr>
        <w:t>Поддерживая позицию Управления, суды указали, что из нормы части 2.1 статьи 31 Закона N 44-ФЗ следует, что контракт, подтверждающий опыт, должен быть исполненным полностью;  контракт является исполненным, когда исполнитель и заказчик надлежащим образом завершили исполнение своих обязательств по  контракту; информация об  исполненном контракте должна быть размещена в реестре контрактов единой информационной системы в сфере закупок</w:t>
      </w:r>
      <w:r w:rsidRPr="0077278A">
        <w:rPr>
          <w:rFonts w:ascii="Times New Roman" w:hAnsi="Times New Roman" w:cs="Times New Roman"/>
          <w:sz w:val="24"/>
          <w:szCs w:val="24"/>
        </w:rPr>
        <w:t xml:space="preserve"> </w:t>
      </w:r>
      <w:r w:rsidRPr="0077278A">
        <w:rPr>
          <w:rFonts w:ascii="Times New Roman" w:hAnsi="Times New Roman" w:cs="Times New Roman"/>
          <w:bCs/>
          <w:sz w:val="24"/>
          <w:szCs w:val="24"/>
        </w:rPr>
        <w:t>со статусом "исполнение завершено".</w:t>
      </w:r>
      <w:proofErr w:type="gramEnd"/>
    </w:p>
    <w:p w:rsidR="0077278A" w:rsidRPr="0077278A" w:rsidRDefault="0077278A" w:rsidP="0077278A">
      <w:pPr>
        <w:tabs>
          <w:tab w:val="left" w:pos="0"/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78A">
        <w:rPr>
          <w:rFonts w:ascii="Times New Roman" w:hAnsi="Times New Roman" w:cs="Times New Roman"/>
          <w:bCs/>
          <w:sz w:val="24"/>
          <w:szCs w:val="24"/>
        </w:rPr>
        <w:t>Положение о том, что стоимость исполненных обязательств по подтверждающим опыт контракту, договору должна составлять не менее двадцати процентов начальной (максимальной) цены контракта, означает, что стоимость исполненного контракта, сведения о которым представлены участником закупки в подтверждение опыта, должна составлять не менее двадцати процентов начальной (максимальной) цены контракта, на заключение которого претендует участник.</w:t>
      </w:r>
      <w:proofErr w:type="gramEnd"/>
    </w:p>
    <w:p w:rsidR="0077278A" w:rsidRPr="0077278A" w:rsidRDefault="0077278A" w:rsidP="0077278A">
      <w:pPr>
        <w:tabs>
          <w:tab w:val="left" w:pos="0"/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78A">
        <w:rPr>
          <w:rFonts w:ascii="Times New Roman" w:hAnsi="Times New Roman" w:cs="Times New Roman"/>
          <w:bCs/>
          <w:sz w:val="24"/>
          <w:szCs w:val="24"/>
        </w:rPr>
        <w:t xml:space="preserve">То есть судами дано толкование понятия «исполненный контракт» в целях его применения в закупочной деятельности участниками контрактной системы. </w:t>
      </w:r>
    </w:p>
    <w:p w:rsidR="0077278A" w:rsidRPr="0077278A" w:rsidRDefault="0077278A" w:rsidP="0077278A">
      <w:pPr>
        <w:tabs>
          <w:tab w:val="left" w:pos="0"/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78A">
        <w:rPr>
          <w:rFonts w:ascii="Times New Roman" w:hAnsi="Times New Roman" w:cs="Times New Roman"/>
          <w:bCs/>
          <w:sz w:val="24"/>
          <w:szCs w:val="24"/>
        </w:rPr>
        <w:t>Иной подход будет противоречит</w:t>
      </w:r>
      <w:r w:rsidR="00626C8C">
        <w:rPr>
          <w:rFonts w:ascii="Times New Roman" w:hAnsi="Times New Roman" w:cs="Times New Roman"/>
          <w:bCs/>
          <w:sz w:val="24"/>
          <w:szCs w:val="24"/>
        </w:rPr>
        <w:t>ь</w:t>
      </w:r>
      <w:r w:rsidRPr="0077278A">
        <w:rPr>
          <w:rFonts w:ascii="Times New Roman" w:hAnsi="Times New Roman" w:cs="Times New Roman"/>
          <w:bCs/>
          <w:sz w:val="24"/>
          <w:szCs w:val="24"/>
        </w:rPr>
        <w:t xml:space="preserve"> основополагающим принципам Закона N 44-ФЗ (в силу статей 1, 6 и 8 Закона N 44-ФЗ к таковым отнесены, повышение эффективности, результативность осуществления закупок товаров, работ, услуг, обеспечение гласности и прозрачности осуществления таких закупок, предотвращение коррупции и других злоупотреблении, создание равных условии для участников), целям и задачам Постановления N 2571, поскольку создает необоснованные риски для заказчиков, а</w:t>
      </w:r>
      <w:proofErr w:type="gramEnd"/>
      <w:r w:rsidRPr="0077278A">
        <w:rPr>
          <w:rFonts w:ascii="Times New Roman" w:hAnsi="Times New Roman" w:cs="Times New Roman"/>
          <w:bCs/>
          <w:sz w:val="24"/>
          <w:szCs w:val="24"/>
        </w:rPr>
        <w:t xml:space="preserve"> также, в рассматриваемом случае муниципальных нужд, в виде допуска заявки участника закупки, не обладающего опытом выполнения работ, являющихся объектом закупки.</w:t>
      </w:r>
    </w:p>
    <w:p w:rsidR="0077278A" w:rsidRPr="0077278A" w:rsidRDefault="0077278A" w:rsidP="0077278A">
      <w:pPr>
        <w:tabs>
          <w:tab w:val="left" w:pos="0"/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78A">
        <w:rPr>
          <w:rFonts w:ascii="Times New Roman" w:hAnsi="Times New Roman" w:cs="Times New Roman"/>
          <w:sz w:val="24"/>
          <w:szCs w:val="24"/>
        </w:rPr>
        <w:t xml:space="preserve">Таким образом, решение по делу имеет прецедентное значение, способствует выработке единого подхода при рассмотрении заявок при проведении закупок с универсальной </w:t>
      </w:r>
      <w:proofErr w:type="spellStart"/>
      <w:r w:rsidRPr="0077278A">
        <w:rPr>
          <w:rFonts w:ascii="Times New Roman" w:hAnsi="Times New Roman" w:cs="Times New Roman"/>
          <w:sz w:val="24"/>
          <w:szCs w:val="24"/>
        </w:rPr>
        <w:t>предквалификацией</w:t>
      </w:r>
      <w:proofErr w:type="spellEnd"/>
      <w:r w:rsidRPr="0077278A">
        <w:rPr>
          <w:rFonts w:ascii="Times New Roman" w:hAnsi="Times New Roman" w:cs="Times New Roman"/>
          <w:sz w:val="24"/>
          <w:szCs w:val="24"/>
        </w:rPr>
        <w:t xml:space="preserve">, которые могут быть использованы, как субъектами контроля, так и контролирующими органами. </w:t>
      </w:r>
      <w:proofErr w:type="gramEnd"/>
    </w:p>
    <w:p w:rsidR="0077278A" w:rsidRPr="0077278A" w:rsidRDefault="0077278A" w:rsidP="0077278A">
      <w:pPr>
        <w:tabs>
          <w:tab w:val="left" w:pos="0"/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78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7278A">
        <w:rPr>
          <w:rFonts w:ascii="Times New Roman" w:hAnsi="Times New Roman" w:cs="Times New Roman"/>
          <w:bCs/>
          <w:sz w:val="24"/>
          <w:szCs w:val="24"/>
        </w:rPr>
        <w:t>При этом данная практика может применяться во всех сферах, на которые распространяет свое действие Постановления N 2571.</w:t>
      </w:r>
    </w:p>
    <w:p w:rsidR="002534D7" w:rsidRDefault="0077278A" w:rsidP="002534D7">
      <w:pPr>
        <w:tabs>
          <w:tab w:val="left" w:pos="0"/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78A">
        <w:rPr>
          <w:rFonts w:ascii="Times New Roman" w:hAnsi="Times New Roman" w:cs="Times New Roman"/>
          <w:bCs/>
          <w:sz w:val="24"/>
          <w:szCs w:val="24"/>
        </w:rPr>
        <w:t xml:space="preserve">Подобный подход при рассмотрении заявок исключает риск заключения контракта с лицами, не обладающими соответствующим опытом поставки товаров, работ, услуг; способствуют </w:t>
      </w:r>
      <w:r w:rsidRPr="0077278A">
        <w:rPr>
          <w:rFonts w:ascii="Times New Roman" w:hAnsi="Times New Roman" w:cs="Times New Roman"/>
          <w:sz w:val="24"/>
          <w:szCs w:val="24"/>
        </w:rPr>
        <w:t xml:space="preserve">реализации прав добросовестных участников закупки на участие в </w:t>
      </w:r>
      <w:r w:rsidRPr="002534D7">
        <w:rPr>
          <w:rFonts w:ascii="Times New Roman" w:hAnsi="Times New Roman" w:cs="Times New Roman"/>
          <w:sz w:val="24"/>
          <w:szCs w:val="24"/>
        </w:rPr>
        <w:t xml:space="preserve">процедуре конкурентных торгов. </w:t>
      </w:r>
    </w:p>
    <w:p w:rsidR="002534D7" w:rsidRPr="002534D7" w:rsidRDefault="002534D7" w:rsidP="002534D7">
      <w:pPr>
        <w:tabs>
          <w:tab w:val="left" w:pos="0"/>
          <w:tab w:val="left" w:pos="900"/>
        </w:tabs>
        <w:suppressAutoHyphens/>
        <w:ind w:firstLine="709"/>
        <w:jc w:val="both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2534D7">
        <w:rPr>
          <w:rStyle w:val="a9"/>
          <w:rFonts w:ascii="Times New Roman" w:hAnsi="Times New Roman" w:cs="Times New Roman"/>
          <w:b/>
          <w:sz w:val="24"/>
          <w:szCs w:val="24"/>
        </w:rPr>
        <w:t>Контроль в сфере тарифного регулирования.</w:t>
      </w:r>
    </w:p>
    <w:p w:rsidR="002534D7" w:rsidRDefault="002534D7" w:rsidP="002534D7">
      <w:pPr>
        <w:tabs>
          <w:tab w:val="left" w:pos="0"/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4D7">
        <w:rPr>
          <w:rStyle w:val="a9"/>
          <w:rFonts w:ascii="Times New Roman" w:hAnsi="Times New Roman" w:cs="Times New Roman"/>
          <w:i w:val="0"/>
          <w:sz w:val="24"/>
          <w:szCs w:val="24"/>
        </w:rPr>
        <w:t>Правительством РФ принято </w:t>
      </w:r>
      <w:r w:rsidRPr="002534D7">
        <w:rPr>
          <w:rFonts w:ascii="Times New Roman" w:hAnsi="Times New Roman" w:cs="Times New Roman"/>
          <w:iCs/>
          <w:sz w:val="24"/>
          <w:szCs w:val="24"/>
          <w:shd w:val="clear" w:color="auto" w:fill="FDFDFD"/>
        </w:rPr>
        <w:t>Постановление от 07.11.2023 №1869 «О внесении изменений в некоторые акты Правительства Российской Федерации</w:t>
      </w:r>
      <w:r w:rsidRPr="002534D7">
        <w:rPr>
          <w:rFonts w:ascii="Times New Roman" w:eastAsia="Calibri" w:hAnsi="Times New Roman" w:cs="Times New Roman"/>
          <w:sz w:val="24"/>
          <w:szCs w:val="24"/>
        </w:rPr>
        <w:t>», которым предусмотрено, что п</w:t>
      </w:r>
      <w:r w:rsidRPr="002534D7">
        <w:rPr>
          <w:rFonts w:ascii="Times New Roman" w:hAnsi="Times New Roman" w:cs="Times New Roman"/>
          <w:sz w:val="24"/>
          <w:szCs w:val="24"/>
        </w:rPr>
        <w:t>о поручению ФАС России региональные (</w:t>
      </w:r>
      <w:proofErr w:type="gramStart"/>
      <w:r w:rsidRPr="002534D7">
        <w:rPr>
          <w:rFonts w:ascii="Times New Roman" w:hAnsi="Times New Roman" w:cs="Times New Roman"/>
          <w:sz w:val="24"/>
          <w:szCs w:val="24"/>
        </w:rPr>
        <w:t xml:space="preserve">территориальные) </w:t>
      </w:r>
      <w:proofErr w:type="gramEnd"/>
      <w:r w:rsidRPr="002534D7">
        <w:rPr>
          <w:rFonts w:ascii="Times New Roman" w:hAnsi="Times New Roman" w:cs="Times New Roman"/>
          <w:sz w:val="24"/>
          <w:szCs w:val="24"/>
        </w:rPr>
        <w:t xml:space="preserve">управления смогут самостоятельно проводить внеплановые выездные и документарные проверки в области регулирования цен (тарифов). Такая мера позволит расширить охват контрольно-надзорной деятельности для более эффективного реагирования в случае необоснованного роста тарифов. </w:t>
      </w:r>
    </w:p>
    <w:p w:rsidR="002534D7" w:rsidRDefault="002534D7" w:rsidP="002534D7">
      <w:pPr>
        <w:tabs>
          <w:tab w:val="left" w:pos="0"/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4D7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E2441D" w:rsidRPr="002534D7">
        <w:rPr>
          <w:rFonts w:ascii="Times New Roman" w:hAnsi="Times New Roman" w:cs="Times New Roman"/>
          <w:sz w:val="24"/>
          <w:szCs w:val="24"/>
        </w:rPr>
        <w:t xml:space="preserve">контролировать исполнение </w:t>
      </w:r>
      <w:r w:rsidR="00E2441D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2534D7">
        <w:rPr>
          <w:rFonts w:ascii="Times New Roman" w:hAnsi="Times New Roman" w:cs="Times New Roman"/>
          <w:sz w:val="24"/>
          <w:szCs w:val="24"/>
        </w:rPr>
        <w:t>по итогам проверки по</w:t>
      </w:r>
      <w:r w:rsidR="00E2441D">
        <w:rPr>
          <w:rFonts w:ascii="Times New Roman" w:hAnsi="Times New Roman" w:cs="Times New Roman"/>
          <w:sz w:val="24"/>
          <w:szCs w:val="24"/>
        </w:rPr>
        <w:t xml:space="preserve"> </w:t>
      </w:r>
      <w:r w:rsidRPr="002534D7">
        <w:rPr>
          <w:rFonts w:ascii="Times New Roman" w:hAnsi="Times New Roman" w:cs="Times New Roman"/>
          <w:sz w:val="24"/>
          <w:szCs w:val="24"/>
        </w:rPr>
        <w:t>прежнему будет центральный аппарат ФАС России. Это позволит сохранить единообразие правоприменительной практики и уровень контрольных процедур. Полномочия по рассмотрению обращений в сфере госрегулирования тарифов т</w:t>
      </w:r>
      <w:bookmarkStart w:id="0" w:name="_GoBack"/>
      <w:bookmarkEnd w:id="0"/>
      <w:r w:rsidRPr="002534D7">
        <w:rPr>
          <w:rFonts w:ascii="Times New Roman" w:hAnsi="Times New Roman" w:cs="Times New Roman"/>
          <w:sz w:val="24"/>
          <w:szCs w:val="24"/>
        </w:rPr>
        <w:t xml:space="preserve">акже остаются за центральным аппаратом. </w:t>
      </w:r>
    </w:p>
    <w:p w:rsidR="002534D7" w:rsidRPr="002534D7" w:rsidRDefault="002534D7" w:rsidP="002534D7">
      <w:pPr>
        <w:tabs>
          <w:tab w:val="left" w:pos="0"/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4D7">
        <w:rPr>
          <w:rFonts w:ascii="Times New Roman" w:hAnsi="Times New Roman" w:cs="Times New Roman"/>
          <w:sz w:val="24"/>
          <w:szCs w:val="24"/>
        </w:rPr>
        <w:t xml:space="preserve">Кроме того, документ предусматривает сокращение сроков некоторых контрольных мероприятий. Это повысит оперативность проводимых контрольных мероприятий. Принимаемые меры направлены на повышение </w:t>
      </w:r>
      <w:proofErr w:type="gramStart"/>
      <w:r w:rsidRPr="002534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34D7">
        <w:rPr>
          <w:rFonts w:ascii="Times New Roman" w:hAnsi="Times New Roman" w:cs="Times New Roman"/>
          <w:sz w:val="24"/>
          <w:szCs w:val="24"/>
        </w:rPr>
        <w:t xml:space="preserve"> экономической обоснованностью тарифов.</w:t>
      </w:r>
    </w:p>
    <w:p w:rsidR="007467C6" w:rsidRPr="007467C6" w:rsidRDefault="007467C6" w:rsidP="002534D7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7467C6">
        <w:rPr>
          <w:rFonts w:ascii="Times New Roman" w:hAnsi="Times New Roman"/>
          <w:b/>
          <w:i/>
          <w:sz w:val="24"/>
          <w:szCs w:val="24"/>
        </w:rPr>
        <w:t>Мониторинги на социально значимых рынках</w:t>
      </w:r>
    </w:p>
    <w:p w:rsidR="007467C6" w:rsidRDefault="007467C6" w:rsidP="007467C6">
      <w:pPr>
        <w:tabs>
          <w:tab w:val="left" w:pos="0"/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C6" w:rsidRDefault="007467C6" w:rsidP="00746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7C6">
        <w:rPr>
          <w:rFonts w:ascii="Times New Roman" w:hAnsi="Times New Roman" w:cs="Times New Roman"/>
          <w:sz w:val="24"/>
          <w:szCs w:val="24"/>
        </w:rPr>
        <w:t>Тульским</w:t>
      </w:r>
      <w:proofErr w:type="gramEnd"/>
      <w:r w:rsidRPr="007467C6">
        <w:rPr>
          <w:rFonts w:ascii="Times New Roman" w:hAnsi="Times New Roman" w:cs="Times New Roman"/>
          <w:sz w:val="24"/>
          <w:szCs w:val="24"/>
        </w:rPr>
        <w:t xml:space="preserve"> УФАС России на постоянной основе осуществляются мониторинг  рынка нефтепродуктов. </w:t>
      </w: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7467C6">
        <w:rPr>
          <w:rFonts w:ascii="Times New Roman" w:hAnsi="Times New Roman" w:cs="Times New Roman"/>
          <w:sz w:val="24"/>
          <w:szCs w:val="24"/>
        </w:rPr>
        <w:t xml:space="preserve">оручениями ЦА ФАС России Тульское УФАС России на </w:t>
      </w:r>
      <w:r>
        <w:rPr>
          <w:rFonts w:ascii="Times New Roman" w:hAnsi="Times New Roman" w:cs="Times New Roman"/>
          <w:sz w:val="24"/>
          <w:szCs w:val="24"/>
        </w:rPr>
        <w:t>постоянной</w:t>
      </w:r>
      <w:r w:rsidRPr="007467C6">
        <w:rPr>
          <w:rFonts w:ascii="Times New Roman" w:hAnsi="Times New Roman" w:cs="Times New Roman"/>
          <w:sz w:val="24"/>
          <w:szCs w:val="24"/>
        </w:rPr>
        <w:t xml:space="preserve"> основе проверяет экономическую обоснованность стоимости мелкооптовой реализации топлива с нефтебаз, а также другие составляющие, которые включаются в конечные цены для потребителей. </w:t>
      </w:r>
    </w:p>
    <w:p w:rsidR="00550F5F" w:rsidRDefault="007467C6" w:rsidP="00EA4E4E">
      <w:pPr>
        <w:pStyle w:val="a3"/>
        <w:spacing w:before="0" w:beforeAutospacing="0" w:line="276" w:lineRule="auto"/>
        <w:ind w:firstLine="709"/>
        <w:jc w:val="both"/>
      </w:pPr>
      <w:r w:rsidRPr="00550F5F">
        <w:t>Также по отдельным поручениям ФАС России в 2023 году осуществлялись мониторинги на социально значимых рынках</w:t>
      </w:r>
      <w:r w:rsidR="00550F5F" w:rsidRPr="00550F5F">
        <w:t>.</w:t>
      </w:r>
    </w:p>
    <w:p w:rsidR="00550F5F" w:rsidRDefault="00550F5F" w:rsidP="00550F5F">
      <w:pPr>
        <w:pStyle w:val="a3"/>
        <w:spacing w:before="0" w:beforeAutospacing="0" w:after="0" w:line="276" w:lineRule="auto"/>
        <w:ind w:firstLine="709"/>
        <w:jc w:val="both"/>
      </w:pPr>
      <w:r>
        <w:t>В</w:t>
      </w:r>
      <w:r w:rsidRPr="00550F5F">
        <w:t>едомство постоянно ведет мониторинг ценовой ситуации на товары первой необходимости, а также проверяет компании и организации на предмет доминирования на рынке, когд</w:t>
      </w:r>
      <w:r>
        <w:t xml:space="preserve">а доля субъекта превышает 25%. </w:t>
      </w:r>
      <w:r w:rsidRPr="00550F5F">
        <w:t>По продовольственным товарам таких субъектов не выявлено</w:t>
      </w:r>
      <w:r>
        <w:t>, рынок высоко конкурентный</w:t>
      </w:r>
      <w:r w:rsidRPr="00550F5F">
        <w:t xml:space="preserve">. </w:t>
      </w:r>
      <w:r>
        <w:t>Стоит отметить</w:t>
      </w:r>
      <w:r w:rsidRPr="00550F5F">
        <w:t xml:space="preserve">, что в действующем законодательстве не предусмотрено понятие «необоснованный рост цен», а есть «монопольно высокая цена». В числе факторов, которые </w:t>
      </w:r>
      <w:r>
        <w:t>влияют</w:t>
      </w:r>
      <w:r w:rsidRPr="00550F5F">
        <w:t xml:space="preserve"> на </w:t>
      </w:r>
      <w:r>
        <w:t xml:space="preserve">конечные цены это </w:t>
      </w:r>
      <w:r w:rsidRPr="00550F5F">
        <w:t xml:space="preserve">увеличение издержек, кредитные обязательства предпринимателей, затраты на доставку грузов в регион, рост закупочных цен и разрыв логистических цепочек. </w:t>
      </w:r>
    </w:p>
    <w:p w:rsidR="00550F5F" w:rsidRDefault="00550F5F" w:rsidP="00EA4E4E">
      <w:pPr>
        <w:pStyle w:val="a3"/>
        <w:spacing w:before="0" w:beforeAutospacing="0" w:line="276" w:lineRule="auto"/>
        <w:ind w:firstLine="709"/>
        <w:jc w:val="both"/>
        <w:rPr>
          <w:color w:val="333333"/>
          <w:shd w:val="clear" w:color="auto" w:fill="FFFFFF"/>
        </w:rPr>
      </w:pPr>
      <w:r>
        <w:lastRenderedPageBreak/>
        <w:t xml:space="preserve">Так, в 2023 </w:t>
      </w:r>
      <w:r w:rsidRPr="00550F5F">
        <w:t xml:space="preserve">году </w:t>
      </w:r>
      <w:r>
        <w:t>п</w:t>
      </w:r>
      <w:r w:rsidRPr="00550F5F">
        <w:rPr>
          <w:color w:val="333333"/>
          <w:shd w:val="clear" w:color="auto" w:fill="FFFFFF"/>
        </w:rPr>
        <w:t xml:space="preserve">о поручению руководителя ФАС России </w:t>
      </w:r>
      <w:r>
        <w:rPr>
          <w:color w:val="333333"/>
          <w:shd w:val="clear" w:color="auto" w:fill="FFFFFF"/>
        </w:rPr>
        <w:t>проведен</w:t>
      </w:r>
      <w:r w:rsidRPr="00550F5F">
        <w:rPr>
          <w:color w:val="333333"/>
          <w:shd w:val="clear" w:color="auto" w:fill="FFFFFF"/>
        </w:rPr>
        <w:t xml:space="preserve"> анализ ситуации на рынке яйца куриного на предмет наличия или отсутствия нарушения антимонопольного законодательства в действи</w:t>
      </w:r>
      <w:r>
        <w:rPr>
          <w:color w:val="333333"/>
          <w:shd w:val="clear" w:color="auto" w:fill="FFFFFF"/>
        </w:rPr>
        <w:t>ях производителей яйца куриного, по итогам которого признаков нарушений не установлено.</w:t>
      </w:r>
    </w:p>
    <w:p w:rsidR="00EA4E4E" w:rsidRPr="00550F5F" w:rsidRDefault="00EA4E4E" w:rsidP="00EA4E4E">
      <w:pPr>
        <w:pStyle w:val="a3"/>
        <w:spacing w:before="0" w:beforeAutospacing="0" w:line="276" w:lineRule="auto"/>
        <w:ind w:firstLine="709"/>
        <w:jc w:val="both"/>
      </w:pPr>
    </w:p>
    <w:p w:rsidR="007467C6" w:rsidRPr="007467C6" w:rsidRDefault="007467C6" w:rsidP="00746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7C6" w:rsidRPr="007467C6" w:rsidRDefault="007467C6" w:rsidP="007467C6">
      <w:pPr>
        <w:tabs>
          <w:tab w:val="left" w:pos="0"/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FB4" w:rsidRPr="00B76CD6" w:rsidRDefault="000A0F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A0FB4" w:rsidRPr="00B7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3F0"/>
    <w:multiLevelType w:val="hybridMultilevel"/>
    <w:tmpl w:val="A55AF50A"/>
    <w:lvl w:ilvl="0" w:tplc="3B4EA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6BA0"/>
    <w:multiLevelType w:val="hybridMultilevel"/>
    <w:tmpl w:val="D930AD06"/>
    <w:lvl w:ilvl="0" w:tplc="C58E8E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A1"/>
    <w:rsid w:val="000A0FB4"/>
    <w:rsid w:val="000B7470"/>
    <w:rsid w:val="0010738A"/>
    <w:rsid w:val="0011507B"/>
    <w:rsid w:val="001475C3"/>
    <w:rsid w:val="00196E13"/>
    <w:rsid w:val="001C352B"/>
    <w:rsid w:val="001E16F6"/>
    <w:rsid w:val="00202C69"/>
    <w:rsid w:val="002534D7"/>
    <w:rsid w:val="00261DA5"/>
    <w:rsid w:val="002653C8"/>
    <w:rsid w:val="00335242"/>
    <w:rsid w:val="00391780"/>
    <w:rsid w:val="003E1009"/>
    <w:rsid w:val="004B0846"/>
    <w:rsid w:val="004B25A9"/>
    <w:rsid w:val="004C2502"/>
    <w:rsid w:val="00511B17"/>
    <w:rsid w:val="00513879"/>
    <w:rsid w:val="00550F5F"/>
    <w:rsid w:val="0055315B"/>
    <w:rsid w:val="005A4E13"/>
    <w:rsid w:val="00626C8C"/>
    <w:rsid w:val="006448DC"/>
    <w:rsid w:val="00666652"/>
    <w:rsid w:val="006F45A5"/>
    <w:rsid w:val="007467C6"/>
    <w:rsid w:val="00762FAC"/>
    <w:rsid w:val="0077278A"/>
    <w:rsid w:val="0078465D"/>
    <w:rsid w:val="0079214B"/>
    <w:rsid w:val="00794710"/>
    <w:rsid w:val="00794D2B"/>
    <w:rsid w:val="007C55B2"/>
    <w:rsid w:val="008534DD"/>
    <w:rsid w:val="0089528B"/>
    <w:rsid w:val="008B2DAA"/>
    <w:rsid w:val="00961F89"/>
    <w:rsid w:val="009B6AEA"/>
    <w:rsid w:val="009C3B82"/>
    <w:rsid w:val="009F2F38"/>
    <w:rsid w:val="00A451DA"/>
    <w:rsid w:val="00A5443B"/>
    <w:rsid w:val="00AC1096"/>
    <w:rsid w:val="00B178A1"/>
    <w:rsid w:val="00B76CD6"/>
    <w:rsid w:val="00BF2471"/>
    <w:rsid w:val="00C25F23"/>
    <w:rsid w:val="00C70BD7"/>
    <w:rsid w:val="00C74EC4"/>
    <w:rsid w:val="00C85188"/>
    <w:rsid w:val="00CD3B81"/>
    <w:rsid w:val="00D07421"/>
    <w:rsid w:val="00D138F2"/>
    <w:rsid w:val="00D214AC"/>
    <w:rsid w:val="00D248ED"/>
    <w:rsid w:val="00D27987"/>
    <w:rsid w:val="00D378F6"/>
    <w:rsid w:val="00D464B0"/>
    <w:rsid w:val="00D622B4"/>
    <w:rsid w:val="00D94C7F"/>
    <w:rsid w:val="00DE2FF6"/>
    <w:rsid w:val="00DF24BB"/>
    <w:rsid w:val="00E21CBD"/>
    <w:rsid w:val="00E2441D"/>
    <w:rsid w:val="00E35DA0"/>
    <w:rsid w:val="00E40E2C"/>
    <w:rsid w:val="00EA4E4E"/>
    <w:rsid w:val="00EE5AD9"/>
    <w:rsid w:val="00F1095B"/>
    <w:rsid w:val="00F55014"/>
    <w:rsid w:val="00F61E2E"/>
    <w:rsid w:val="00FC0F04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B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87"/>
    <w:rPr>
      <w:rFonts w:ascii="Tahoma" w:hAnsi="Tahoma" w:cs="Tahoma"/>
      <w:sz w:val="16"/>
      <w:szCs w:val="16"/>
    </w:rPr>
  </w:style>
  <w:style w:type="paragraph" w:styleId="a7">
    <w:name w:val="List Paragraph"/>
    <w:aliases w:val="Нумерованый список,List Paragraph1,AC List 01,Маркер,ПАРАГРАФ,List Paragraph,Абзац маркированнный,1,UL,1. Абзац списка,Table-Normal,RSHB_Table-Normal,Предусловия,Нумерованный спиков,Bullet List,FooterText,numbered,Название таблицы,Списки"/>
    <w:basedOn w:val="a"/>
    <w:link w:val="a8"/>
    <w:uiPriority w:val="34"/>
    <w:qFormat/>
    <w:rsid w:val="007467C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Нумерованый список Знак,List Paragraph1 Знак,AC List 01 Знак,Маркер Знак,ПАРАГРАФ Знак,List Paragraph Знак,Абзац маркированнный Знак,1 Знак,UL Знак,1. Абзац списка Знак,Table-Normal Знак,RSHB_Table-Normal Знак,Предусловия Знак"/>
    <w:basedOn w:val="a0"/>
    <w:link w:val="a7"/>
    <w:uiPriority w:val="34"/>
    <w:locked/>
    <w:rsid w:val="007467C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534D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3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2534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B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87"/>
    <w:rPr>
      <w:rFonts w:ascii="Tahoma" w:hAnsi="Tahoma" w:cs="Tahoma"/>
      <w:sz w:val="16"/>
      <w:szCs w:val="16"/>
    </w:rPr>
  </w:style>
  <w:style w:type="paragraph" w:styleId="a7">
    <w:name w:val="List Paragraph"/>
    <w:aliases w:val="Нумерованый список,List Paragraph1,AC List 01,Маркер,ПАРАГРАФ,List Paragraph,Абзац маркированнный,1,UL,1. Абзац списка,Table-Normal,RSHB_Table-Normal,Предусловия,Нумерованный спиков,Bullet List,FooterText,numbered,Название таблицы,Списки"/>
    <w:basedOn w:val="a"/>
    <w:link w:val="a8"/>
    <w:uiPriority w:val="34"/>
    <w:qFormat/>
    <w:rsid w:val="007467C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Нумерованый список Знак,List Paragraph1 Знак,AC List 01 Знак,Маркер Знак,ПАРАГРАФ Знак,List Paragraph Знак,Абзац маркированнный Знак,1 Знак,UL Знак,1. Абзац списка Знак,Table-Normal Знак,RSHB_Table-Normal Знак,Предусловия Знак"/>
    <w:basedOn w:val="a0"/>
    <w:link w:val="a7"/>
    <w:uiPriority w:val="34"/>
    <w:locked/>
    <w:rsid w:val="007467C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534D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3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253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84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42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198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9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59BF-1063-4EDA-83A7-E504F107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Администратор</cp:lastModifiedBy>
  <cp:revision>3</cp:revision>
  <cp:lastPrinted>2024-03-14T08:07:00Z</cp:lastPrinted>
  <dcterms:created xsi:type="dcterms:W3CDTF">2024-03-15T13:54:00Z</dcterms:created>
  <dcterms:modified xsi:type="dcterms:W3CDTF">2024-03-15T13:56:00Z</dcterms:modified>
</cp:coreProperties>
</file>