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F" w:rsidRPr="00865B2E" w:rsidRDefault="00865B2E" w:rsidP="00865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B2E">
        <w:rPr>
          <w:rFonts w:ascii="Times New Roman" w:hAnsi="Times New Roman" w:cs="Times New Roman"/>
          <w:b/>
          <w:sz w:val="32"/>
          <w:szCs w:val="32"/>
        </w:rPr>
        <w:t>Доклад к публичным обсуждениям  правоприменительной практики Тульского УФАС России 28 июня 2018 г</w:t>
      </w:r>
    </w:p>
    <w:p w:rsidR="00865B2E" w:rsidRDefault="00865B2E" w:rsidP="0086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2E" w:rsidRPr="00865B2E" w:rsidRDefault="002177E3" w:rsidP="00034A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217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нтиконкурентные</w:t>
      </w:r>
      <w:proofErr w:type="spellEnd"/>
      <w:r w:rsidRPr="00217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соглашения с участием органов власти</w:t>
      </w:r>
      <w:r w:rsidRPr="00865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177E3" w:rsidRPr="002177E3" w:rsidRDefault="002177E3" w:rsidP="00217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E3">
        <w:rPr>
          <w:rFonts w:ascii="Times New Roman" w:hAnsi="Times New Roman" w:cs="Times New Roman"/>
          <w:sz w:val="28"/>
          <w:szCs w:val="28"/>
        </w:rPr>
        <w:t>Статья 16 Федерального закона от 26 июля 2006 г. N 135-ФЗ "О защите конкуренции" (далее - Закон "О защите конкуренции") запрещает соглашения между федеральными органами исполнительной власти, органами государственной власти субъектов РФ,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ЦБ РФ (далее - органы власти)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p w:rsidR="002177E3" w:rsidRPr="002177E3" w:rsidRDefault="002177E3" w:rsidP="00217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E3">
        <w:rPr>
          <w:rFonts w:ascii="Times New Roman" w:hAnsi="Times New Roman" w:cs="Times New Roman"/>
          <w:sz w:val="28"/>
          <w:szCs w:val="28"/>
        </w:rPr>
        <w:t>Статья 16 Закона "О защите конкуренции" в п. п. 1 - 4 предусматривает четыре возможных</w:t>
      </w:r>
      <w:r>
        <w:rPr>
          <w:rFonts w:ascii="Times New Roman" w:hAnsi="Times New Roman" w:cs="Times New Roman"/>
          <w:sz w:val="28"/>
          <w:szCs w:val="28"/>
        </w:rPr>
        <w:t>, но не исключительных,</w:t>
      </w:r>
      <w:r w:rsidRPr="002177E3">
        <w:rPr>
          <w:rFonts w:ascii="Times New Roman" w:hAnsi="Times New Roman" w:cs="Times New Roman"/>
          <w:sz w:val="28"/>
          <w:szCs w:val="28"/>
        </w:rPr>
        <w:t xml:space="preserve"> вида антиконкурентных соглашений (или согласованных действий), разграничение которых проводится в зависимости от наступающих последствий.</w:t>
      </w:r>
    </w:p>
    <w:p w:rsidR="002177E3" w:rsidRPr="002177E3" w:rsidRDefault="002177E3" w:rsidP="00217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E3">
        <w:rPr>
          <w:rFonts w:ascii="Times New Roman" w:hAnsi="Times New Roman" w:cs="Times New Roman"/>
          <w:sz w:val="28"/>
          <w:szCs w:val="28"/>
        </w:rPr>
        <w:t>Необходимо отметить, что практически вся судебная практика за период с 2016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77E3">
        <w:rPr>
          <w:rFonts w:ascii="Times New Roman" w:hAnsi="Times New Roman" w:cs="Times New Roman"/>
          <w:sz w:val="28"/>
          <w:szCs w:val="28"/>
        </w:rPr>
        <w:t xml:space="preserve"> г. посвящена двум видам антиконкурентных соглашений, а именно связана с нарушением п. п. 1 и п. 4 ст. 16 Закона "О защите конкуренции". Данные пункты запрещают достижение соглашений или осуществление согласованных действий, которые приводят: (а) к повышению, снижению или поддержанию цен (тарифов) (п. 1) или (б) ограничению доступа на товарный рынок, выходу из товарного рынка или устранению с него хозяйствующих субъектов (п. 4).</w:t>
      </w:r>
    </w:p>
    <w:p w:rsidR="002177E3" w:rsidRPr="002177E3" w:rsidRDefault="002177E3" w:rsidP="00217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E3">
        <w:rPr>
          <w:rFonts w:ascii="Times New Roman" w:hAnsi="Times New Roman" w:cs="Times New Roman"/>
          <w:sz w:val="28"/>
          <w:szCs w:val="28"/>
        </w:rPr>
        <w:t>В первую очередь необходимо отметить, на каких субъектов распространяется запрет,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2177E3">
        <w:rPr>
          <w:rFonts w:ascii="Times New Roman" w:hAnsi="Times New Roman" w:cs="Times New Roman"/>
          <w:sz w:val="28"/>
          <w:szCs w:val="28"/>
        </w:rPr>
        <w:t>п. 4 ст.  ст. 16 Закона "О защите конкуренции".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Такими являются: </w:t>
      </w:r>
      <w:r w:rsidRPr="002177E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7E3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7E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7E3">
        <w:rPr>
          <w:rFonts w:ascii="Times New Roman" w:hAnsi="Times New Roman" w:cs="Times New Roman"/>
          <w:sz w:val="28"/>
          <w:szCs w:val="28"/>
        </w:rPr>
        <w:t xml:space="preserve"> субъектов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7E3">
        <w:rPr>
          <w:rFonts w:ascii="Times New Roman" w:hAnsi="Times New Roman" w:cs="Times New Roman"/>
          <w:sz w:val="28"/>
          <w:szCs w:val="28"/>
        </w:rPr>
        <w:t xml:space="preserve"> министерства,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комитеты</w:t>
      </w:r>
      <w:r w:rsidRPr="002177E3">
        <w:rPr>
          <w:rFonts w:ascii="Times New Roman" w:hAnsi="Times New Roman" w:cs="Times New Roman"/>
          <w:sz w:val="28"/>
          <w:szCs w:val="28"/>
        </w:rPr>
        <w:t>,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77E3">
        <w:rPr>
          <w:rFonts w:ascii="Times New Roman" w:hAnsi="Times New Roman" w:cs="Times New Roman"/>
          <w:sz w:val="28"/>
          <w:szCs w:val="28"/>
        </w:rPr>
        <w:t xml:space="preserve"> учреждений: автономны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836" w:rsidRDefault="00F02836" w:rsidP="00C21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распространенные нарушения </w:t>
      </w:r>
      <w:hyperlink r:id="rId6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ст. 16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 состоят в следующем: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1. Чаще всего достижение антиконкурентных соглашений напрямую связано с нарушением конкурентных процедур.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Данная проблема зачастую связана с тем, что законодательство предусматривает случаи, в которых предоставляется возможность осуществления закупки у единственного поставщика. При выборе такого способа закупки отсутствует обязанность по проведению торгов. В результате многие субъекты неправильно выбирают способ закупки, тем самым пытаясь обойти требование о проведении торгов путем ссылки на то, что их ситуация подпадает под случаи, когда контракт может быть закл</w:t>
      </w:r>
      <w:r>
        <w:rPr>
          <w:rFonts w:ascii="Times New Roman" w:hAnsi="Times New Roman" w:cs="Times New Roman"/>
          <w:sz w:val="28"/>
          <w:szCs w:val="28"/>
        </w:rPr>
        <w:t>ючен с единственным поставщиком (</w:t>
      </w:r>
      <w:hyperlink r:id="rId7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Северо-Западного округа от 4 июля 2017 г. по делу N А26-6631/2016; Решение Арбитражного суда Чеченской Республики от 13 мая 2016 г. по делу N А77-1068/2015; </w:t>
      </w:r>
      <w:hyperlink r:id="rId8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Волго-Вятского округа от 14 июня 2018 г. по делу N А38-9199/2017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836">
        <w:rPr>
          <w:rFonts w:ascii="Times New Roman" w:hAnsi="Times New Roman" w:cs="Times New Roman"/>
          <w:sz w:val="28"/>
          <w:szCs w:val="28"/>
        </w:rPr>
        <w:t>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Некоторые субъекты пытаются уклониться от соблюдения обязательной процедуры проведения торгов в целях заключения договоров при помощи дробления одного договора на множество более мелких, в результате чего формально требования законодательства не нарушены. </w:t>
      </w:r>
      <w:proofErr w:type="gramStart"/>
      <w:r w:rsidRPr="00F02836">
        <w:rPr>
          <w:rFonts w:ascii="Times New Roman" w:hAnsi="Times New Roman" w:cs="Times New Roman"/>
          <w:sz w:val="28"/>
          <w:szCs w:val="28"/>
        </w:rPr>
        <w:t>Вместе с тем суды отмечают, что искусственное "дробление" единой закупки на множество закупок не соответствует целям введения возможности заключения контракта без проведения конкурентных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Волго-Вятского округа от 14 июня 2018 г. по делу N А38-9199/2017; </w:t>
      </w:r>
      <w:hyperlink r:id="rId10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Уральского округа от 19 ноября 2018 г. N Ф09-7206/18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Однако даже в случае, если торги были проведены, зачастую они проводятся с нарушениями.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Нарушение конкурентных процедур может выражаться в </w:t>
      </w:r>
      <w:proofErr w:type="spellStart"/>
      <w:r w:rsidRPr="00F02836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F02836">
        <w:rPr>
          <w:rFonts w:ascii="Times New Roman" w:hAnsi="Times New Roman" w:cs="Times New Roman"/>
          <w:sz w:val="28"/>
          <w:szCs w:val="28"/>
        </w:rPr>
        <w:t xml:space="preserve"> потенциальным поставщикам (исполнителям) всей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Второго арбитражного апелляционного суда от 14 мая 2</w:t>
      </w:r>
      <w:r>
        <w:rPr>
          <w:rFonts w:ascii="Times New Roman" w:hAnsi="Times New Roman" w:cs="Times New Roman"/>
          <w:sz w:val="28"/>
          <w:szCs w:val="28"/>
        </w:rPr>
        <w:t>018 г. по делу N А28-10990/2017)</w:t>
      </w:r>
      <w:r w:rsidRPr="00F02836">
        <w:rPr>
          <w:rFonts w:ascii="Times New Roman" w:hAnsi="Times New Roman" w:cs="Times New Roman"/>
          <w:sz w:val="28"/>
          <w:szCs w:val="28"/>
        </w:rPr>
        <w:t>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В некоторых случаях аукцион подготавливается под конкретного исполнителя. Это может выражаться в наличии предварительных договоренностей по его подготовке. Например, в одном из дел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Уральского округа от 30 августа 2016 г. </w:t>
      </w:r>
      <w:r w:rsidRPr="00F02836">
        <w:rPr>
          <w:rFonts w:ascii="Times New Roman" w:hAnsi="Times New Roman" w:cs="Times New Roman"/>
          <w:sz w:val="28"/>
          <w:szCs w:val="28"/>
        </w:rPr>
        <w:lastRenderedPageBreak/>
        <w:t>по делу N Ф09-7978/16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836">
        <w:rPr>
          <w:rFonts w:ascii="Times New Roman" w:hAnsi="Times New Roman" w:cs="Times New Roman"/>
          <w:sz w:val="28"/>
          <w:szCs w:val="28"/>
        </w:rPr>
        <w:t xml:space="preserve"> был заключен муниципальный контракт на выполнение работ по ремонту 76 дворовых территорий. Однако исполнитель еще до заключения контракта знал, какие объекты должны быть отремонтированы, и еще до заключения муниципального контракта им были выполнены работы по ремонту 19 территорий.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В некоторых ситуациях согласованность действий субъектов выражается в том, что по предварительным договоренностям в аукционе принимают участие организации, являющиеся аффилированными лицами, чем искусственно создается видимость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Северо-Западного округа от 1 октября 2018 г. по делу N А21-595/2018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2836">
        <w:rPr>
          <w:rFonts w:ascii="Times New Roman" w:hAnsi="Times New Roman" w:cs="Times New Roman"/>
          <w:sz w:val="28"/>
          <w:szCs w:val="28"/>
        </w:rPr>
        <w:t xml:space="preserve">Вторым видом нарушений является заключение органами власти контрактов с определенными поставщиками, которые в действительности сами не выполняют работы, а впоследствии заключают договоры с другими хозяйствующими субъектами, стоимость товаров у которых значительно меньше стоимости, по которой был заключен контракт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Северо-Западного округа от 1 октября 2018 г. по делу N А21-595/2018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3. В большинстве споров предметом контроля также становится оценка того, был ли органами власти перед заключением контракта предварительно проведен анализ рынка для определения начальной (максимальной) цены.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836">
        <w:rPr>
          <w:rFonts w:ascii="Times New Roman" w:hAnsi="Times New Roman" w:cs="Times New Roman"/>
          <w:sz w:val="28"/>
          <w:szCs w:val="28"/>
        </w:rPr>
        <w:t xml:space="preserve">Необходимость проведения соответствующего анализа связана с тем, что проведение торгов без определения и обоснования начальной (максимальной) цены контракта невозможно в силу требований </w:t>
      </w:r>
      <w:hyperlink r:id="rId15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ст. 22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п. 1 ч. 1 ст. 64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Для установления начальной (максимальной) цены органы власти должны любыми доступными способами изучить рынок, например посредством использования различных поисковых систем в сети Интернет (</w:t>
      </w:r>
      <w:proofErr w:type="spellStart"/>
      <w:r w:rsidRPr="00F0283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F02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836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F02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83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02836">
        <w:rPr>
          <w:rFonts w:ascii="Times New Roman" w:hAnsi="Times New Roman" w:cs="Times New Roman"/>
          <w:sz w:val="28"/>
          <w:szCs w:val="28"/>
        </w:rPr>
        <w:t xml:space="preserve"> и др.), изучения ранее заключенных контрактов по закупкам такого же товара и др.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hyperlink r:id="rId17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Северо-Западного округа от 1 октября 2018 г. по делу N А21-595/2018 учреждение проводило анализ рынка по планируемым к закупке деревянным опорам посредством анализа информации о потенциальных поставщиках в сети Интернет, по </w:t>
      </w:r>
      <w:r w:rsidRPr="00F02836">
        <w:rPr>
          <w:rFonts w:ascii="Times New Roman" w:hAnsi="Times New Roman" w:cs="Times New Roman"/>
          <w:sz w:val="28"/>
          <w:szCs w:val="28"/>
        </w:rPr>
        <w:lastRenderedPageBreak/>
        <w:t>телефону получало информацию о стоимости опор. Кроме того, им использовалась информация о потенциальных поставщиках посредством изучения ранее заключенных контрактов.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В действительности во многих случаях анализ рынка носит формальный характер и осуществляется "избирательно" - наиболее выгодными среди прочих признаются коммерческие предложения определенных заранее поставщиков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2836">
        <w:rPr>
          <w:rFonts w:ascii="Times New Roman" w:hAnsi="Times New Roman" w:cs="Times New Roman"/>
          <w:sz w:val="28"/>
          <w:szCs w:val="28"/>
        </w:rPr>
        <w:t>Решение Арбитражного суда Новгородской области от 14 июля 2016 г. по делу N А44-4177/2016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836">
        <w:rPr>
          <w:rFonts w:ascii="Times New Roman" w:hAnsi="Times New Roman" w:cs="Times New Roman"/>
          <w:sz w:val="28"/>
          <w:szCs w:val="28"/>
        </w:rPr>
        <w:t>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4. Кроме того, нарушением </w:t>
      </w:r>
      <w:hyperlink r:id="rId18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ст. 16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 может являться также изменение существенных условий соглашений, которые сами по себе были заключены с соблюдением конкурентных процедур. Суды отмечают, что изменение отдельных условий таких соглашений возможно, но в случае, если стороны меняют какие-либо существенные условия, то фактически это является новым договором, для заключения которого вновь требуется соблюдение антиконкурентных процедур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Арбитражного суда Поволжского округа от 15 августа 2018 г. по делу N Ф06-35541/2018; </w:t>
      </w:r>
      <w:hyperlink r:id="rId20" w:history="1">
        <w:proofErr w:type="gramStart"/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Верховного Суда РФ от 9 февраля 2017 г. по делу N А40-180322/2015; </w:t>
      </w:r>
      <w:hyperlink r:id="rId21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Верховного Суда РФ от 8 февраля 2018 г. N 304-КГ17-23524 по делу А67-484/2017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Проанализировав судебную практику, можно выделить наиболее распространенные причины, которыми руководствуются стороны при достижении </w:t>
      </w:r>
      <w:proofErr w:type="spellStart"/>
      <w:r w:rsidRPr="00F02836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F02836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>В некоторых случаях субъекты объясняют несоблюдение законодательства тем, что они находились в состоянии крайней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2836">
        <w:rPr>
          <w:rFonts w:ascii="Times New Roman" w:hAnsi="Times New Roman" w:cs="Times New Roman"/>
          <w:sz w:val="28"/>
          <w:szCs w:val="28"/>
        </w:rPr>
        <w:t>апример, в целях осуществления бесперебойного движения автотранспортных средств и предотвращения ДТП.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В качестве примера другого способа обоснования допустимости </w:t>
      </w:r>
      <w:proofErr w:type="spellStart"/>
      <w:r w:rsidRPr="00F02836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F02836">
        <w:rPr>
          <w:rFonts w:ascii="Times New Roman" w:hAnsi="Times New Roman" w:cs="Times New Roman"/>
          <w:sz w:val="28"/>
          <w:szCs w:val="28"/>
        </w:rPr>
        <w:t xml:space="preserve"> соглашения можно привести </w:t>
      </w:r>
      <w:hyperlink r:id="rId22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Второго арбитражного апелляционного суда от 14 мая 2018 г. по делу N А28-10990/2017. В нем субъект указывал, что с учетом отрицательного опыта проведения предыдущих торгов (торги не состоялись) заказчик счел, что "заключение соглашения с обществом позволяет максимально исключить риски от участия в строительстве недобросовестных или финансово несостоятельных подрядчиков".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Однако во всех перечисленных выше случаях было установлено нарушение </w:t>
      </w:r>
      <w:hyperlink r:id="rId23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ст. 16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7F57" w:rsidRPr="00447F57" w:rsidRDefault="00F02836" w:rsidP="00447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lastRenderedPageBreak/>
        <w:t>Между тем, безусловно, в большинстве случаев заключение антиконкурентных соглашений происходит для достижения неправомерных целей - получения бюджетных средств, личных выгод, предоставления преимуществ одним субъектам перед другими, сохранения устоявшихся хозяйственных связей.</w:t>
      </w:r>
      <w:r w:rsidR="00447F57" w:rsidRPr="004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В заключение можно сказать, что с учетом большого количества дел, связанных с нарушением </w:t>
      </w:r>
      <w:hyperlink r:id="rId24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ст. 16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конкуренции", в настоящее время проблема антиконкурентных соглашений является актуальной. С течением времени не происходит сокращения числа антиконкурентных соглашений.</w:t>
      </w:r>
    </w:p>
    <w:p w:rsidR="00F02836" w:rsidRPr="00F02836" w:rsidRDefault="00F02836" w:rsidP="00F02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6">
        <w:rPr>
          <w:rFonts w:ascii="Times New Roman" w:hAnsi="Times New Roman" w:cs="Times New Roman"/>
          <w:sz w:val="28"/>
          <w:szCs w:val="28"/>
        </w:rPr>
        <w:t xml:space="preserve">Целями </w:t>
      </w:r>
      <w:hyperlink r:id="rId25" w:history="1">
        <w:r w:rsidRPr="00F02836">
          <w:rPr>
            <w:rStyle w:val="a4"/>
            <w:rFonts w:ascii="Times New Roman" w:hAnsi="Times New Roman" w:cs="Times New Roman"/>
            <w:sz w:val="28"/>
            <w:szCs w:val="28"/>
          </w:rPr>
          <w:t>ст. 16</w:t>
        </w:r>
      </w:hyperlink>
      <w:r w:rsidRPr="00F0283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 является борьба с коррупцией, снятие административных барьеров и поддержка предпринимательства. Однако распространение антиконкурентных соглашений препятствует их достижению</w:t>
      </w:r>
      <w:r w:rsidR="00447F57">
        <w:rPr>
          <w:rFonts w:ascii="Times New Roman" w:hAnsi="Times New Roman" w:cs="Times New Roman"/>
          <w:sz w:val="28"/>
          <w:szCs w:val="28"/>
        </w:rPr>
        <w:t>, поскольку</w:t>
      </w:r>
      <w:r w:rsidR="00447F57" w:rsidRPr="00447F57">
        <w:rPr>
          <w:rFonts w:ascii="Times New Roman" w:hAnsi="Times New Roman" w:cs="Times New Roman"/>
          <w:sz w:val="28"/>
          <w:szCs w:val="28"/>
        </w:rPr>
        <w:t xml:space="preserve"> создаются преимущества отдельному хозяйствующему субъекту, в то время как иные хозяйствующие субъекты лишены доступа к соответствующему товарному рынку, что свидетельствует об ограничении конкуренции.</w:t>
      </w:r>
    </w:p>
    <w:p w:rsidR="0036166B" w:rsidRPr="0036166B" w:rsidRDefault="00CB425E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6166B" w:rsidRPr="0036166B">
          <w:rPr>
            <w:rStyle w:val="a4"/>
            <w:rFonts w:ascii="Times New Roman" w:hAnsi="Times New Roman" w:cs="Times New Roman"/>
            <w:sz w:val="28"/>
            <w:szCs w:val="28"/>
          </w:rPr>
          <w:t>Часть 7 статьи 14.32</w:t>
        </w:r>
      </w:hyperlink>
      <w:r w:rsidR="0036166B" w:rsidRPr="0036166B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36166B">
        <w:rPr>
          <w:rFonts w:ascii="Times New Roman" w:hAnsi="Times New Roman" w:cs="Times New Roman"/>
          <w:sz w:val="28"/>
          <w:szCs w:val="28"/>
        </w:rPr>
        <w:t>предусматривает административную ответственность за</w:t>
      </w:r>
      <w:r w:rsidR="0036166B" w:rsidRPr="0036166B">
        <w:rPr>
          <w:rFonts w:ascii="Times New Roman" w:hAnsi="Times New Roman" w:cs="Times New Roman"/>
          <w:sz w:val="28"/>
          <w:szCs w:val="28"/>
        </w:rPr>
        <w:t xml:space="preserve"> заключение федеральным органом исполнительной власти, органом исполнительной власти субъекта Российской Федерации, органом местного самоуправления, иными осуществляющими функции указанных органов органом или организацией,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действий.</w:t>
      </w:r>
    </w:p>
    <w:p w:rsid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>Административная ответственность за указанные деяния установлена для должностных лиц в виде административного штрафа в размере от 20 тыс. руб. до 50 тыс. руб. либо дисквалификации на срок от 6 месяцев до 3 лет.</w:t>
      </w:r>
    </w:p>
    <w:p w:rsidR="0036166B" w:rsidRDefault="0036166B" w:rsidP="003616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 xml:space="preserve">Поводом к возбуждению дел об административных правонарушениях, предусмотренных </w:t>
      </w:r>
      <w:hyperlink r:id="rId27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стать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ей </w:t>
        </w:r>
      </w:hyperlink>
      <w:hyperlink r:id="rId28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14.32</w:t>
        </w:r>
      </w:hyperlink>
      <w:r w:rsidRPr="0036166B">
        <w:rPr>
          <w:rFonts w:ascii="Times New Roman" w:hAnsi="Times New Roman" w:cs="Times New Roman"/>
          <w:sz w:val="28"/>
          <w:szCs w:val="28"/>
        </w:rPr>
        <w:t xml:space="preserve"> КоАП РФ, является принятие комиссией антимонопольного органа решения, которым установлен факт нарушения антимонопольного </w:t>
      </w:r>
      <w:hyperlink r:id="rId29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Pr="0036166B">
        <w:rPr>
          <w:rFonts w:ascii="Times New Roman" w:hAnsi="Times New Roman" w:cs="Times New Roman"/>
          <w:i/>
          <w:sz w:val="28"/>
          <w:szCs w:val="28"/>
        </w:rPr>
        <w:t xml:space="preserve">ст. 28.1, "Кодекс Российской Федерации об административных правонарушениях" от 30.12.2001 N 195-ФЗ (ред. </w:t>
      </w:r>
      <w:r>
        <w:rPr>
          <w:rFonts w:ascii="Times New Roman" w:hAnsi="Times New Roman" w:cs="Times New Roman"/>
          <w:i/>
          <w:sz w:val="28"/>
          <w:szCs w:val="28"/>
        </w:rPr>
        <w:t>от 27.12.2018).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lastRenderedPageBreak/>
        <w:t>Кроме того статьей 178.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6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ответственность за </w:t>
      </w:r>
      <w:bookmarkStart w:id="0" w:name="P4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36166B">
        <w:rPr>
          <w:rFonts w:ascii="Times New Roman" w:hAnsi="Times New Roman" w:cs="Times New Roman"/>
          <w:sz w:val="28"/>
          <w:szCs w:val="28"/>
        </w:rPr>
        <w:t xml:space="preserve">граничение конкуренции путем </w:t>
      </w:r>
      <w:proofErr w:type="gramStart"/>
      <w:r w:rsidRPr="0036166B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36166B">
        <w:rPr>
          <w:rFonts w:ascii="Times New Roman" w:hAnsi="Times New Roman" w:cs="Times New Roman"/>
          <w:sz w:val="28"/>
          <w:szCs w:val="28"/>
        </w:rPr>
        <w:t xml:space="preserve"> между хозяйствующими субъектами-конкурентами ограничивающего конкуренцию соглашения (картеля), запрещенного в соответствии с антимонопольным </w:t>
      </w:r>
      <w:hyperlink r:id="rId30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6166B">
        <w:rPr>
          <w:rFonts w:ascii="Times New Roman" w:hAnsi="Times New Roman" w:cs="Times New Roman"/>
          <w:sz w:val="28"/>
          <w:szCs w:val="28"/>
        </w:rPr>
        <w:t xml:space="preserve"> Российской Федерации, если это деяние причинило крупный ущерб гражданам, организациям или государству либо повлекло извлечение дохода в крупном размере, -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6B">
        <w:rPr>
          <w:rFonts w:ascii="Times New Roman" w:hAnsi="Times New Roman" w:cs="Times New Roman"/>
          <w:sz w:val="28"/>
          <w:szCs w:val="28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такового, либо лишением свободы на срок до</w:t>
      </w:r>
      <w:proofErr w:type="gramEnd"/>
      <w:r w:rsidRPr="0036166B">
        <w:rPr>
          <w:rFonts w:ascii="Times New Roman" w:hAnsi="Times New Roman" w:cs="Times New Roman"/>
          <w:sz w:val="28"/>
          <w:szCs w:val="28"/>
        </w:rPr>
        <w:t xml:space="preserve"> трех лет с лишением права занимать определенные должности или заниматься определенной деятельностью до одного года либо без такового</w:t>
      </w:r>
      <w:r>
        <w:rPr>
          <w:rFonts w:ascii="Times New Roman" w:hAnsi="Times New Roman" w:cs="Times New Roman"/>
          <w:sz w:val="28"/>
          <w:szCs w:val="28"/>
        </w:rPr>
        <w:t xml:space="preserve"> (часть 1)</w:t>
      </w:r>
      <w:r w:rsidRPr="0036166B">
        <w:rPr>
          <w:rFonts w:ascii="Times New Roman" w:hAnsi="Times New Roman" w:cs="Times New Roman"/>
          <w:sz w:val="28"/>
          <w:szCs w:val="28"/>
        </w:rPr>
        <w:t>.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"/>
      <w:bookmarkEnd w:id="1"/>
      <w:r w:rsidRPr="0036166B">
        <w:rPr>
          <w:rFonts w:ascii="Times New Roman" w:hAnsi="Times New Roman" w:cs="Times New Roman"/>
          <w:sz w:val="28"/>
          <w:szCs w:val="28"/>
        </w:rPr>
        <w:t>2. Те же деяния: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>а) совершенные лицом с использованием своего служебного положения;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>б) сопряженные с уничтожением или повреждением чужого имущества либо с угрозой его уничтожения или повреждения, при отсутствии признаков вымогательства;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6166B">
        <w:rPr>
          <w:rFonts w:ascii="Times New Roman" w:hAnsi="Times New Roman" w:cs="Times New Roman"/>
          <w:sz w:val="28"/>
          <w:szCs w:val="28"/>
        </w:rPr>
        <w:t>причинившие</w:t>
      </w:r>
      <w:proofErr w:type="gramEnd"/>
      <w:r w:rsidRPr="0036166B">
        <w:rPr>
          <w:rFonts w:ascii="Times New Roman" w:hAnsi="Times New Roman" w:cs="Times New Roman"/>
          <w:sz w:val="28"/>
          <w:szCs w:val="28"/>
        </w:rPr>
        <w:t xml:space="preserve"> особо крупный ущерб либо повлекшие извлечение дохода в особо крупном размере, -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6B">
        <w:rPr>
          <w:rFonts w:ascii="Times New Roman" w:hAnsi="Times New Roman" w:cs="Times New Roman"/>
          <w:sz w:val="28"/>
          <w:szCs w:val="28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</w:t>
      </w:r>
      <w:proofErr w:type="gramEnd"/>
      <w:r w:rsidRPr="0036166B">
        <w:rPr>
          <w:rFonts w:ascii="Times New Roman" w:hAnsi="Times New Roman" w:cs="Times New Roman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от одного года до трех лет или без такового.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 xml:space="preserve">3. Деяния, предусмотренные </w:t>
      </w:r>
      <w:hyperlink w:anchor="P4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частями первой</w:t>
        </w:r>
      </w:hyperlink>
      <w:r w:rsidRPr="0036166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8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второй</w:t>
        </w:r>
      </w:hyperlink>
      <w:r w:rsidRPr="0036166B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с применением насилия или с угрозой его применения, -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6B">
        <w:rPr>
          <w:rFonts w:ascii="Times New Roman" w:hAnsi="Times New Roman" w:cs="Times New Roman"/>
          <w:sz w:val="28"/>
          <w:szCs w:val="28"/>
        </w:rPr>
        <w:t xml:space="preserve">наказываются принудительными работами на срок до пяти лет с лишением права занимать определенные должности или заниматься </w:t>
      </w:r>
      <w:r w:rsidRPr="0036166B">
        <w:rPr>
          <w:rFonts w:ascii="Times New Roman" w:hAnsi="Times New Roman" w:cs="Times New Roman"/>
          <w:sz w:val="28"/>
          <w:szCs w:val="28"/>
        </w:rPr>
        <w:lastRenderedPageBreak/>
        <w:t>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лет.</w:t>
      </w:r>
      <w:proofErr w:type="gramEnd"/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>Примечания. 1. Доходом в крупном размере в настоящей статье признается доход, сумма которого превышает пятьдесят миллионов рублей, а доходом в особо крупном размере - двести пятьдесят миллионов рублей.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>2. Крупным ущербом в настоящей статье признается ущерб, сумма которого превышает десять миллионов рублей, а особо крупным ущербом - тридцать миллионов рублей.</w:t>
      </w:r>
    </w:p>
    <w:p w:rsidR="0036166B" w:rsidRPr="0036166B" w:rsidRDefault="0036166B" w:rsidP="00361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6B">
        <w:rPr>
          <w:rFonts w:ascii="Times New Roman" w:hAnsi="Times New Roman" w:cs="Times New Roman"/>
          <w:sz w:val="28"/>
          <w:szCs w:val="28"/>
        </w:rPr>
        <w:t xml:space="preserve">3. Лицо, совершившее преступление, предусмотренное настоящей статьей, освобождается от уголовной ответственности, если оно первым из числа соучастников преступления добровольно сообщило об этом преступлении, активно способствовало его раскрытию и (или) расследованию, возместило причиненный этим преступлением </w:t>
      </w:r>
      <w:proofErr w:type="gramStart"/>
      <w:r w:rsidRPr="0036166B">
        <w:rPr>
          <w:rFonts w:ascii="Times New Roman" w:hAnsi="Times New Roman" w:cs="Times New Roman"/>
          <w:sz w:val="28"/>
          <w:szCs w:val="28"/>
        </w:rPr>
        <w:t>ущерб</w:t>
      </w:r>
      <w:proofErr w:type="gramEnd"/>
      <w:r w:rsidRPr="0036166B">
        <w:rPr>
          <w:rFonts w:ascii="Times New Roman" w:hAnsi="Times New Roman" w:cs="Times New Roman"/>
          <w:sz w:val="28"/>
          <w:szCs w:val="28"/>
        </w:rPr>
        <w:t xml:space="preserve"> или иным образом загладило причиненный </w:t>
      </w:r>
      <w:hyperlink r:id="rId31" w:history="1">
        <w:r w:rsidRPr="0036166B">
          <w:rPr>
            <w:rStyle w:val="a4"/>
            <w:rFonts w:ascii="Times New Roman" w:hAnsi="Times New Roman" w:cs="Times New Roman"/>
            <w:sz w:val="28"/>
            <w:szCs w:val="28"/>
          </w:rPr>
          <w:t>вред</w:t>
        </w:r>
      </w:hyperlink>
      <w:r w:rsidRPr="0036166B">
        <w:rPr>
          <w:rFonts w:ascii="Times New Roman" w:hAnsi="Times New Roman" w:cs="Times New Roman"/>
          <w:sz w:val="28"/>
          <w:szCs w:val="28"/>
        </w:rPr>
        <w:t xml:space="preserve"> и если в его действиях не содерж</w:t>
      </w:r>
      <w:r>
        <w:rPr>
          <w:rFonts w:ascii="Times New Roman" w:hAnsi="Times New Roman" w:cs="Times New Roman"/>
          <w:sz w:val="28"/>
          <w:szCs w:val="28"/>
        </w:rPr>
        <w:t>ится иного состава преступления (</w:t>
      </w:r>
      <w:r w:rsidRPr="0036166B">
        <w:rPr>
          <w:rFonts w:ascii="Times New Roman" w:hAnsi="Times New Roman" w:cs="Times New Roman"/>
          <w:i/>
          <w:sz w:val="28"/>
          <w:szCs w:val="28"/>
        </w:rPr>
        <w:t>ст. 178, "Уголовный кодекс Российской Ф</w:t>
      </w:r>
      <w:r>
        <w:rPr>
          <w:rFonts w:ascii="Times New Roman" w:hAnsi="Times New Roman" w:cs="Times New Roman"/>
          <w:i/>
          <w:sz w:val="28"/>
          <w:szCs w:val="28"/>
        </w:rPr>
        <w:t>едерации" от 13.06.1996 N 63-ФЗ)</w:t>
      </w:r>
    </w:p>
    <w:p w:rsidR="00421C3F" w:rsidRDefault="00421C3F" w:rsidP="00421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</w:t>
      </w:r>
      <w:r w:rsidRPr="00421C3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1C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Управлением возбуждено 2 дела </w:t>
      </w:r>
      <w:r w:rsidRPr="00421C3F">
        <w:rPr>
          <w:rFonts w:ascii="Times New Roman" w:hAnsi="Times New Roman" w:cs="Times New Roman"/>
          <w:sz w:val="28"/>
          <w:szCs w:val="28"/>
        </w:rPr>
        <w:t>о нарушении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нарушения</w:t>
      </w:r>
      <w:r w:rsidRPr="00421C3F">
        <w:rPr>
          <w:rFonts w:ascii="Times New Roman" w:hAnsi="Times New Roman" w:cs="Times New Roman"/>
          <w:sz w:val="28"/>
          <w:szCs w:val="28"/>
        </w:rPr>
        <w:t xml:space="preserve"> пункта 4 статьи 16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421C3F">
          <w:rPr>
            <w:rFonts w:ascii="Times New Roman" w:hAnsi="Times New Roman" w:cs="Times New Roman"/>
            <w:sz w:val="28"/>
            <w:szCs w:val="28"/>
          </w:rPr>
          <w:t>26.07.2006</w:t>
        </w:r>
      </w:smartTag>
      <w:r w:rsidRPr="00421C3F">
        <w:rPr>
          <w:rFonts w:ascii="Times New Roman" w:hAnsi="Times New Roman" w:cs="Times New Roman"/>
          <w:sz w:val="28"/>
          <w:szCs w:val="28"/>
        </w:rPr>
        <w:t xml:space="preserve"> № 135-ФЗ "О защите конкуренции"</w:t>
      </w:r>
    </w:p>
    <w:p w:rsidR="00DD5C97" w:rsidRPr="00421C3F" w:rsidRDefault="00421C3F" w:rsidP="0053624D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3F">
        <w:rPr>
          <w:rFonts w:ascii="Times New Roman" w:hAnsi="Times New Roman" w:cs="Times New Roman"/>
          <w:sz w:val="28"/>
          <w:szCs w:val="28"/>
        </w:rPr>
        <w:t xml:space="preserve"> </w:t>
      </w:r>
      <w:r w:rsidR="00DD5C97" w:rsidRPr="00421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виды нарушений Земельного кодекса Российской Федерации  при предоставлении земельных участков</w:t>
      </w:r>
    </w:p>
    <w:p w:rsidR="00421C3F" w:rsidRPr="0053624D" w:rsidRDefault="00421C3F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земельных участков в аренду регулируется нормами </w:t>
      </w:r>
      <w:r w:rsidR="00DD5C97" w:rsidRPr="005362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Земельного кодекса Российской Федерации</w:t>
      </w: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C3F" w:rsidRPr="00034ADE" w:rsidRDefault="00421C3F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земельного законодательства договор аренды земельного участка, находящегося в государственной или муниципальной собственности, заключается, как правило, на торгах.</w:t>
      </w:r>
    </w:p>
    <w:p w:rsidR="00421C3F" w:rsidRPr="00034ADE" w:rsidRDefault="00421C3F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земельным кодексом определены 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</w:t>
      </w: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предоставления земельных участков, находящихся в государственной или муниципальной собственности, в аренду без проведения торгов определены положениями </w:t>
      </w:r>
      <w:hyperlink r:id="rId32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39.6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 </w:t>
      </w:r>
      <w:proofErr w:type="gramStart"/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33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12 пункта 2 указанной статьи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следует, что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34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2002 г. N 101-ФЗ "Об обороте земель сельскохозяйственного назначения" (далее - Закон об обороте).</w:t>
      </w:r>
      <w:proofErr w:type="gramEnd"/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35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2016 г. N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 статья дополнена </w:t>
      </w:r>
      <w:hyperlink r:id="rId36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статьи 10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обороте, который устанавливает, что земельные участки из земель сельскохозяйственного назначения</w:t>
      </w:r>
      <w:proofErr w:type="gramEnd"/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возможность предоставления земельного участка без проведения торгов связана с отсутствием заявлений от иных заинтересованных лиц о предоставлении данного земельного участка.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ни Земельный </w:t>
      </w:r>
      <w:hyperlink r:id="rId37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ни </w:t>
      </w:r>
      <w:hyperlink r:id="rId38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обороте не содержат иного порядка выявления иных лиц, заинтересованных в получении земельного участка по указанным основаниям, кроме порядка, указанного в </w:t>
      </w:r>
      <w:hyperlink r:id="rId39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39.18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предоставление земельного участка без проведения торгов допускается только в отсутствие заявлений от других заинтересованных лиц.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</w:t>
      </w:r>
      <w:hyperlink r:id="rId40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</w:t>
      </w:r>
      <w:hyperlink r:id="rId41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8 статьи 10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обороте).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заявление крестьянского (фермерского) хозяйства о предоставлении земельного участка без проведения торгов, в соответствии с </w:t>
      </w:r>
      <w:hyperlink r:id="rId42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статьи 10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обороте, в любом случае рассматривается по правилам </w:t>
      </w:r>
      <w:hyperlink r:id="rId43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39.18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 При этом то обстоятельство, что участники торгов участвуют в государственных программах поддержки сельского хозяйства, не имеет правового значения при рассмотрении заявления в порядке </w:t>
      </w:r>
      <w:hyperlink r:id="rId44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39.18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следует, что имеется несогласованность редакций </w:t>
      </w:r>
      <w:hyperlink r:id="rId45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второго пункта 8 статьи 10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обороте и положения </w:t>
      </w:r>
      <w:hyperlink r:id="rId46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39.18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извещения аукциона, проводимого в соответствии со </w:t>
      </w:r>
      <w:hyperlink r:id="rId47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</w:t>
      </w:r>
      <w:hyperlink r:id="rId48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статьи 10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обороте, в аукционе принимают участие крестьянские </w:t>
      </w: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(фермерские) хозяйства, как участвующие, так и не участвующие в программах государственной поддержки в сфере развития сельского хозяйства, и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 о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не влияет на вышеуказанный порядок предоставления земельных участков при наличии заявления иных лиц, желающих приобрести соответствующий земельный участок.</w:t>
      </w:r>
    </w:p>
    <w:p w:rsidR="0053624D" w:rsidRPr="0053624D" w:rsidRDefault="0053624D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отметить, что в настоящее время Минсельхоз России разработал проект федерального закона 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назначения", которым </w:t>
      </w:r>
      <w:hyperlink r:id="rId49" w:history="1">
        <w:r w:rsidRPr="005362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8 статьи 10</w:t>
        </w:r>
      </w:hyperlink>
      <w:r w:rsidRPr="005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обороте признается утратившим силу.</w:t>
      </w:r>
    </w:p>
    <w:p w:rsidR="00421C3F" w:rsidRPr="00034ADE" w:rsidRDefault="00421C3F" w:rsidP="006A61F4">
      <w:pPr>
        <w:spacing w:before="100" w:beforeAutospacing="1"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для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 является поступление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</w:t>
      </w: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деятельности.</w:t>
      </w:r>
    </w:p>
    <w:p w:rsidR="00421C3F" w:rsidRPr="00034ADE" w:rsidRDefault="00421C3F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оказание органами местного самоуправления поддержки гражданам путем предоставления земельных участков в порядке, предусмотренном статьей 39.18 ЗК РФ, без проведения торгов, допускается исключительно на основании заявлений о предоставлении земельных участков в поименованных в названной норме целях.</w:t>
      </w:r>
      <w:proofErr w:type="gramEnd"/>
    </w:p>
    <w:p w:rsidR="006A61F4" w:rsidRPr="006A61F4" w:rsidRDefault="006A61F4" w:rsidP="006A61F4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</w:t>
      </w:r>
      <w:hyperlink r:id="rId50" w:history="1">
        <w:r w:rsidRPr="006A61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A61F4" w:rsidRPr="006A61F4" w:rsidRDefault="006A61F4" w:rsidP="006A61F4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</w:t>
      </w:r>
      <w:hyperlink r:id="rId51" w:history="1">
        <w:r w:rsidRPr="006A61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39.18</w:t>
        </w:r>
      </w:hyperlink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(далее – ЗК РФ)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</w:t>
      </w:r>
      <w:proofErr w:type="gramEnd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крестьянским (фермерским) хозяйством его деятельности уполномоченный орган в срок, не превышающий тридцати дней </w:t>
      </w:r>
      <w:proofErr w:type="gramStart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из этих заявлений, совершает одно из следующих действий:</w:t>
      </w:r>
    </w:p>
    <w:p w:rsidR="006A61F4" w:rsidRPr="006A61F4" w:rsidRDefault="006A61F4" w:rsidP="006A61F4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</w:t>
      </w:r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6A61F4" w:rsidRPr="006A61F4" w:rsidRDefault="006A61F4" w:rsidP="006A61F4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настоящего Кодекса.</w:t>
      </w:r>
    </w:p>
    <w:p w:rsidR="006A61F4" w:rsidRDefault="006A61F4" w:rsidP="006A61F4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извещение о предоставлении земельного участка для вышеуказанных целей  должно быть опубликовано в районной газете и размещено на официальном сайте муниципального образования в сети Интернет, а также на официальном сайте Российской Федерации в информационно-телекоммуникационной сети "Интернет" для размещения информации 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</w:t>
      </w:r>
      <w:proofErr w:type="gramEnd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по адресу </w:t>
      </w:r>
      <w:hyperlink r:id="rId52" w:history="1">
        <w:r w:rsidRPr="006A61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срок, не превышающий тридцати дней </w:t>
      </w:r>
      <w:proofErr w:type="gramStart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из заявлений.</w:t>
      </w:r>
    </w:p>
    <w:p w:rsidR="00227E87" w:rsidRPr="00227E87" w:rsidRDefault="00227E87" w:rsidP="00227E87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</w:t>
      </w:r>
      <w:r w:rsidR="00B001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предоставления земельного участка, предусмотренная требованиями п. 1 ч. 1 ст. 39.18 ЗК РФ,  не соблюдена, в должной степени не обеспеч</w:t>
      </w:r>
      <w:r w:rsidR="00B00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неопределенного круга лиц, потенциально заинтересованных в приобретении вещных прав в отношении спорного земельного участка и участие в аукционе, что приводит или может привести к недопущению, ограничению, устра</w:t>
      </w:r>
      <w:r w:rsidR="00B0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конкуренции, выразившейся, к примеру, </w:t>
      </w:r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без соблюдения публичных процедур.</w:t>
      </w:r>
    </w:p>
    <w:p w:rsidR="0051277B" w:rsidRDefault="00B001A4" w:rsidP="0051277B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таких обстоятельствах </w:t>
      </w:r>
      <w:r w:rsidR="00227E87"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основания для вынесения предупреждения о нарушении антимонопольного законодательства по признакам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227E87"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15 Федерального закона от 26.07.2006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№135-ФЗ «О защите конкуренции», согласно которой</w:t>
      </w:r>
      <w:r w:rsidRPr="00B0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</w:t>
      </w:r>
      <w:proofErr w:type="gramEnd"/>
      <w:r w:rsidRPr="002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  <w:r w:rsidR="0051277B" w:rsidRPr="0051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C3F" w:rsidRPr="00034ADE" w:rsidRDefault="005E3960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421C3F"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при отсутствии заявления гражданина или крестьянско-фермерского хозяйства о предоставлении земельного участка на основании статьи 39.18 ЗК РФ самостоятельно принимаются решения о предоставлении земельных участков в аренду без проведения торгов. Тогда как в указанном случае администрации должны руководствоваться общими требованиями предоставления земельных участков, находящихся в муниципальной собственности, в аренду, а именно при наличии намерения сдачи такого участка в аренду провести торги в форме аукциона.</w:t>
      </w:r>
    </w:p>
    <w:p w:rsidR="00421C3F" w:rsidRPr="00034ADE" w:rsidRDefault="00421C3F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органами власти поддержки гражданам путем предоставления земельных участков в порядке, предусмотренном статьей 39.18 ЗК РФ, без проведения торгов, допускается исключительно в случаях прямо поименованных в статье, в том числе в целях ведения личного подсобного хозяйства.</w:t>
      </w:r>
    </w:p>
    <w:p w:rsidR="0053624D" w:rsidRDefault="00421C3F" w:rsidP="0053624D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извещения в сети «Интернет» на официальном сайте торгов о предварительном согласовании предоставления земельного участка на основании статьи 39.18 ЗК РФ в целях осуществления крестьянским </w:t>
      </w: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фермерским хозяйством его деятельности по собственной инициативе, при отсутствии заявления лица, обладающего таким статусом, органами местного самоуправления неправомерно ограничивается круг лиц, имеющих намерение претендовать на заключение договора аренды в отношении этого земельного участка, в том</w:t>
      </w:r>
      <w:proofErr w:type="gramEnd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лиц. </w:t>
      </w:r>
    </w:p>
    <w:p w:rsidR="0051277B" w:rsidRDefault="00421C3F" w:rsidP="0051277B">
      <w:pPr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неверного способа предоставления земельного участка в аренду может привести к неправомерному предоставлению хозяйствующему субъекту земельного участка без проведения торгов, в частности к предоставлению преимущественных условий по сравнению с иными участниками рынка, ограниченными </w:t>
      </w:r>
      <w:proofErr w:type="gramStart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претендовать на заключение договора аренды в отношении земельного участка.</w:t>
      </w:r>
      <w:r w:rsidR="0051277B" w:rsidRPr="0051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C3F" w:rsidRPr="00034ADE" w:rsidRDefault="00421C3F" w:rsidP="0053624D">
      <w:pPr>
        <w:spacing w:after="0" w:line="36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проблемы могут быть решены повышением правовой грамотности специалистов органов местного самоуправления и изучением практики антимонопольных органов по соответствующ</w:t>
      </w:r>
      <w:r w:rsidR="00CB4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B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2" w:name="_GoBack"/>
      <w:bookmarkEnd w:id="2"/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B2E" w:rsidRPr="00034ADE" w:rsidRDefault="00865B2E" w:rsidP="0053624D">
      <w:pPr>
        <w:tabs>
          <w:tab w:val="left" w:pos="1665"/>
        </w:tabs>
        <w:spacing w:after="0" w:line="360" w:lineRule="auto"/>
        <w:ind w:left="23" w:firstLine="686"/>
        <w:jc w:val="center"/>
        <w:rPr>
          <w:rFonts w:ascii="Times New Roman" w:hAnsi="Times New Roman" w:cs="Times New Roman"/>
          <w:sz w:val="28"/>
          <w:szCs w:val="28"/>
        </w:rPr>
      </w:pPr>
    </w:p>
    <w:sectPr w:rsidR="00865B2E" w:rsidRPr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BB0"/>
    <w:multiLevelType w:val="multilevel"/>
    <w:tmpl w:val="64D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206FE"/>
    <w:multiLevelType w:val="hybridMultilevel"/>
    <w:tmpl w:val="DF066466"/>
    <w:lvl w:ilvl="0" w:tplc="3A427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09"/>
    <w:rsid w:val="00034ADE"/>
    <w:rsid w:val="002177E3"/>
    <w:rsid w:val="00227E87"/>
    <w:rsid w:val="0036166B"/>
    <w:rsid w:val="00421C3F"/>
    <w:rsid w:val="00443AF7"/>
    <w:rsid w:val="00447F57"/>
    <w:rsid w:val="0051277B"/>
    <w:rsid w:val="0053624D"/>
    <w:rsid w:val="005E3960"/>
    <w:rsid w:val="00632893"/>
    <w:rsid w:val="006A61F4"/>
    <w:rsid w:val="006B7A5F"/>
    <w:rsid w:val="00865B2E"/>
    <w:rsid w:val="00960ABC"/>
    <w:rsid w:val="00966909"/>
    <w:rsid w:val="00B001A4"/>
    <w:rsid w:val="00C00DF4"/>
    <w:rsid w:val="00C21BD6"/>
    <w:rsid w:val="00CB425E"/>
    <w:rsid w:val="00D66137"/>
    <w:rsid w:val="00DD5C97"/>
    <w:rsid w:val="00E0595A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8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1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8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1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10D713AF27A7A9C8B9DC4DD2F09BD5BB7CB3BB6A818A27D22EF92B2B000741D23FC43DC8E63DDC62ED96B862rEeBO" TargetMode="External"/><Relationship Id="rId18" Type="http://schemas.openxmlformats.org/officeDocument/2006/relationships/hyperlink" Target="consultantplus://offline/ref=4A10D713AF27A7A9C8B9C35FDFF09BD5BA7DBEBD64808A27D22EF92B2B000741C03F9C31CAE022D967F8C0E927B7D17A490C1EC89F43808Fr8e5O" TargetMode="External"/><Relationship Id="rId26" Type="http://schemas.openxmlformats.org/officeDocument/2006/relationships/hyperlink" Target="consultantplus://offline/ref=07BE6A419A33D9AAC163CD22FD8D7FF394966C23CB4AA8EDC92BD4686C0553F6859B3D2D9CEFA0D9CF00FC6A390918B7A782F8B3F8C9BBr1O" TargetMode="External"/><Relationship Id="rId39" Type="http://schemas.openxmlformats.org/officeDocument/2006/relationships/hyperlink" Target="consultantplus://offline/ref=50CA071A518F5BDD78DB84A4E1B2D2EC7053CF14A4AE389D672C202C7978D7DD282B3FF0B4ECD1F897D2BEA626D2887BA121E68BCAh510L" TargetMode="External"/><Relationship Id="rId21" Type="http://schemas.openxmlformats.org/officeDocument/2006/relationships/hyperlink" Target="consultantplus://offline/ref=4A10D713AF27A7A9C8B9CE4CCAFBC5DAB222B6B86E8F89798671A2767C090D168770C5618EB52EDE62ED94BE7DE0DC79r4e6O" TargetMode="External"/><Relationship Id="rId34" Type="http://schemas.openxmlformats.org/officeDocument/2006/relationships/hyperlink" Target="consultantplus://offline/ref=50CA071A518F5BDD78DB84A4E1B2D2EC7053CE10A0AE389D672C202C7978D7DD3A2B67F5B3E0C4ACC088E9AB25hD1FL" TargetMode="External"/><Relationship Id="rId42" Type="http://schemas.openxmlformats.org/officeDocument/2006/relationships/hyperlink" Target="consultantplus://offline/ref=50CA071A518F5BDD78DB84A4E1B2D2EC7053CE10A0AE389D672C202C7978D7DD282B3FF9B1E4D8A4C09DBFFA60839B79A321E48DD55B46BAh416L" TargetMode="External"/><Relationship Id="rId47" Type="http://schemas.openxmlformats.org/officeDocument/2006/relationships/hyperlink" Target="consultantplus://offline/ref=50CA071A518F5BDD78DB84A4E1B2D2EC7053CF14A4AE389D672C202C7978D7DD282B3FF0B4ECD1F897D2BEA626D2887BA121E68BCAh510L" TargetMode="External"/><Relationship Id="rId50" Type="http://schemas.openxmlformats.org/officeDocument/2006/relationships/hyperlink" Target="consultantplus://offline/ref=47371CB76888A1CECC2FB439BDEA45CC7B910CAEDD2843023B15E6B3785AB6550F826A44DC34454DB8744D1089C0B00097B471E872lEuBP" TargetMode="External"/><Relationship Id="rId7" Type="http://schemas.openxmlformats.org/officeDocument/2006/relationships/hyperlink" Target="consultantplus://offline/ref=4A10D713AF27A7A9C8B9DC4DD2F09BD5B875BFBC6E848A27D22EF92B2B000741D23FC43DC8E63DDC62ED96B862rEe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10D713AF27A7A9C8B9C35FDFF09BD5BA7DBEBC6C858A27D22EF92B2B000741C03F9C31CAE02BDE66F8C0E927B7D17A490C1EC89F43808Fr8e5O" TargetMode="External"/><Relationship Id="rId29" Type="http://schemas.openxmlformats.org/officeDocument/2006/relationships/hyperlink" Target="consultantplus://offline/ref=44B3313789E667B97E0AA16EEC72864B95D8CC51E4C73E5BC0EB1ABC784C8843B25AE1F0901891FF4AF7A164E3nBV6M" TargetMode="External"/><Relationship Id="rId11" Type="http://schemas.openxmlformats.org/officeDocument/2006/relationships/hyperlink" Target="consultantplus://offline/ref=4A10D713AF27A7A9C8B9DD5FD898C5D8BB77E5B0648288768771A2767C090D168770C5618EB52EDE62ED94BE7DE0DC79r4e6O" TargetMode="External"/><Relationship Id="rId24" Type="http://schemas.openxmlformats.org/officeDocument/2006/relationships/hyperlink" Target="consultantplus://offline/ref=4A10D713AF27A7A9C8B9C35FDFF09BD5BA7DBEBD64808A27D22EF92B2B000741C03F9C31CAE022D967F8C0E927B7D17A490C1EC89F43808Fr8e5O" TargetMode="External"/><Relationship Id="rId32" Type="http://schemas.openxmlformats.org/officeDocument/2006/relationships/hyperlink" Target="consultantplus://offline/ref=50CA071A518F5BDD78DB84A4E1B2D2EC7053CF14A4AE389D672C202C7978D7DD282B3FFCB7E1D1F897D2BEA626D2887BA121E68BCAh510L" TargetMode="External"/><Relationship Id="rId37" Type="http://schemas.openxmlformats.org/officeDocument/2006/relationships/hyperlink" Target="consultantplus://offline/ref=50CA071A518F5BDD78DB84A4E1B2D2EC7053CF14A4AE389D672C202C7978D7DD282B3FFCB3E6D1F897D2BEA626D2887BA121E68BCAh510L" TargetMode="External"/><Relationship Id="rId40" Type="http://schemas.openxmlformats.org/officeDocument/2006/relationships/hyperlink" Target="consultantplus://offline/ref=50CA071A518F5BDD78DB84A4E1B2D2EC7053CF14A4AE389D672C202C7978D7DD282B3FF0B4ECD1F897D2BEA626D2887BA121E68BCAh510L" TargetMode="External"/><Relationship Id="rId45" Type="http://schemas.openxmlformats.org/officeDocument/2006/relationships/hyperlink" Target="consultantplus://offline/ref=50CA071A518F5BDD78DB84A4E1B2D2EC7053CE10A0AE389D672C202C7978D7DD282B3FF9B1E4D8A4C19DBFFA60839B79A321E48DD55B46BAh416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10D713AF27A7A9C8B9DC4BDAF09BD5B875BDB568828A27D22EF92B2B000741D23FC43DC8E63DDC62ED96B862rEeBO" TargetMode="External"/><Relationship Id="rId19" Type="http://schemas.openxmlformats.org/officeDocument/2006/relationships/hyperlink" Target="consultantplus://offline/ref=4A10D713AF27A7A9C8B9DC4EDEF09BD5B87AB3BE6B8E8A27D22EF92B2B000741D23FC43DC8E63DDC62ED96B862rEeBO" TargetMode="External"/><Relationship Id="rId31" Type="http://schemas.openxmlformats.org/officeDocument/2006/relationships/hyperlink" Target="consultantplus://offline/ref=4964C86A3EC4FF453D137800671470CB03932DCBF550C21DDBDD3234D93033BD2D2FEC839D0CF419EB2F0743B11C898CA5FBB146AD5EE361j077L" TargetMode="External"/><Relationship Id="rId44" Type="http://schemas.openxmlformats.org/officeDocument/2006/relationships/hyperlink" Target="consultantplus://offline/ref=50CA071A518F5BDD78DB84A4E1B2D2EC7053CF14A4AE389D672C202C7978D7DD282B3FF0B4ECD1F897D2BEA626D2887BA121E68BCAh510L" TargetMode="External"/><Relationship Id="rId52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0D713AF27A7A9C8B9DC48DEF09BD5B17FBCBF6E8CD72DDA77F5292C0F5844C72E9C32CCFE23DA7AF194B9r6eAO" TargetMode="External"/><Relationship Id="rId14" Type="http://schemas.openxmlformats.org/officeDocument/2006/relationships/hyperlink" Target="consultantplus://offline/ref=4A10D713AF27A7A9C8B9DC4DD2F09BD5BB7CB3BB6A818A27D22EF92B2B000741D23FC43DC8E63DDC62ED96B862rEeBO" TargetMode="External"/><Relationship Id="rId22" Type="http://schemas.openxmlformats.org/officeDocument/2006/relationships/hyperlink" Target="consultantplus://offline/ref=4A10D713AF27A7A9C8B9DD5FD898C5D8BB77E5B0648288768771A2767C090D168770C5618EB52EDE62ED94BE7DE0DC79r4e6O" TargetMode="External"/><Relationship Id="rId27" Type="http://schemas.openxmlformats.org/officeDocument/2006/relationships/hyperlink" Target="consultantplus://offline/ref=44B3313789E667B97E0AA16EEC72864B94D0C850E9C23E5BC0EB1ABC784C8843A05AB9FC911B8AF41FB8E731EFBD72F27A8E6FB9B3E3nBV3M" TargetMode="External"/><Relationship Id="rId30" Type="http://schemas.openxmlformats.org/officeDocument/2006/relationships/hyperlink" Target="consultantplus://offline/ref=4964C86A3EC4FF453D137800671470CB039A2BC0F851C21DDBDD3234D93033BD2D2FEC819D0FFF4FBC60061FF74D9A8EA0FBB347B2j575L" TargetMode="External"/><Relationship Id="rId35" Type="http://schemas.openxmlformats.org/officeDocument/2006/relationships/hyperlink" Target="consultantplus://offline/ref=50CA071A518F5BDD78DB84A4E1B2D2EC7053CF11A6AF389D672C202C7978D7DD282B3FF9B1E4DAA5C69DBFFA60839B79A321E48DD55B46BAh416L" TargetMode="External"/><Relationship Id="rId43" Type="http://schemas.openxmlformats.org/officeDocument/2006/relationships/hyperlink" Target="consultantplus://offline/ref=50CA071A518F5BDD78DB84A4E1B2D2EC7053CF14A4AE389D672C202C7978D7DD282B3FF0B4ECD1F897D2BEA626D2887BA121E68BCAh510L" TargetMode="External"/><Relationship Id="rId48" Type="http://schemas.openxmlformats.org/officeDocument/2006/relationships/hyperlink" Target="consultantplus://offline/ref=50CA071A518F5BDD78DB84A4E1B2D2EC7053CE10A0AE389D672C202C7978D7DD282B3FF9B1E4D8A4C19DBFFA60839B79A321E48DD55B46BAh416L" TargetMode="External"/><Relationship Id="rId8" Type="http://schemas.openxmlformats.org/officeDocument/2006/relationships/hyperlink" Target="consultantplus://offline/ref=4A10D713AF27A7A9C8B9DC48DEF09BD5B17FBCBF6E8CD72DDA77F5292C0F5844C72E9C32CCFE23DA7AF194B9r6eAO" TargetMode="External"/><Relationship Id="rId51" Type="http://schemas.openxmlformats.org/officeDocument/2006/relationships/hyperlink" Target="consultantplus://offline/ref=47371CB76888A1CECC2FB439BDEA45CC7B910CAEDD2843023B15E6B3785AB6550F826A44DC34454DB8744D1089C0B00097B471E872lEuB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A10D713AF27A7A9C8B9DC4BDAF09BD5B87BBFB964838A27D22EF92B2B000741D23FC43DC8E63DDC62ED96B862rEeBO" TargetMode="External"/><Relationship Id="rId17" Type="http://schemas.openxmlformats.org/officeDocument/2006/relationships/hyperlink" Target="consultantplus://offline/ref=4A10D713AF27A7A9C8B9DC4DD2F09BD5BB7CB3BB6A818A27D22EF92B2B000741D23FC43DC8E63DDC62ED96B862rEeBO" TargetMode="External"/><Relationship Id="rId25" Type="http://schemas.openxmlformats.org/officeDocument/2006/relationships/hyperlink" Target="consultantplus://offline/ref=4A10D713AF27A7A9C8B9C35FDFF09BD5BA7DBEBD64808A27D22EF92B2B000741C03F9C31CAE022D967F8C0E927B7D17A490C1EC89F43808Fr8e5O" TargetMode="External"/><Relationship Id="rId33" Type="http://schemas.openxmlformats.org/officeDocument/2006/relationships/hyperlink" Target="consultantplus://offline/ref=50CA071A518F5BDD78DB84A4E1B2D2EC7053CF14A4AE389D672C202C7978D7DD282B3FFCB6EDD1F897D2BEA626D2887BA121E68BCAh510L" TargetMode="External"/><Relationship Id="rId38" Type="http://schemas.openxmlformats.org/officeDocument/2006/relationships/hyperlink" Target="consultantplus://offline/ref=50CA071A518F5BDD78DB84A4E1B2D2EC7053CE10A0AE389D672C202C7978D7DD3A2B67F5B3E0C4ACC088E9AB25hD1FL" TargetMode="External"/><Relationship Id="rId46" Type="http://schemas.openxmlformats.org/officeDocument/2006/relationships/hyperlink" Target="consultantplus://offline/ref=50CA071A518F5BDD78DB84A4E1B2D2EC7053CF14A4AE389D672C202C7978D7DD282B3FF0B4ECD1F897D2BEA626D2887BA121E68BCAh510L" TargetMode="External"/><Relationship Id="rId20" Type="http://schemas.openxmlformats.org/officeDocument/2006/relationships/hyperlink" Target="consultantplus://offline/ref=4A10D713AF27A7A9C8B9CE4CCAFBC5DAB222B6B9658782738771A2767C090D168770C5618EB52EDE62ED94BE7DE0DC79r4e6O" TargetMode="External"/><Relationship Id="rId41" Type="http://schemas.openxmlformats.org/officeDocument/2006/relationships/hyperlink" Target="consultantplus://offline/ref=50CA071A518F5BDD78DB84A4E1B2D2EC7053CE10A0AE389D672C202C7978D7DD282B3FF9B1E4D8A4C19DBFFA60839B79A321E48DD55B46BAh416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0D713AF27A7A9C8B9C35FDFF09BD5BA7DBEBD64808A27D22EF92B2B000741C03F9C31CAE022D967F8C0E927B7D17A490C1EC89F43808Fr8e5O" TargetMode="External"/><Relationship Id="rId15" Type="http://schemas.openxmlformats.org/officeDocument/2006/relationships/hyperlink" Target="consultantplus://offline/ref=4A10D713AF27A7A9C8B9C35FDFF09BD5BA7DBEBC6C858A27D22EF92B2B000741C03F9C31CAE021DD6CF8C0E927B7D17A490C1EC89F43808Fr8e5O" TargetMode="External"/><Relationship Id="rId23" Type="http://schemas.openxmlformats.org/officeDocument/2006/relationships/hyperlink" Target="consultantplus://offline/ref=4A10D713AF27A7A9C8B9C35FDFF09BD5BA7DBEBD64808A27D22EF92B2B000741C03F9C31CAE022D967F8C0E927B7D17A490C1EC89F43808Fr8e5O" TargetMode="External"/><Relationship Id="rId28" Type="http://schemas.openxmlformats.org/officeDocument/2006/relationships/hyperlink" Target="consultantplus://offline/ref=44B3313789E667B97E0AA16EEC72864B94D0C850E9C23E5BC0EB1ABC784C8843A05AB9FC91148BF41FB8E731EFBD72F27A8E6FB9B3E3nBV3M" TargetMode="External"/><Relationship Id="rId36" Type="http://schemas.openxmlformats.org/officeDocument/2006/relationships/hyperlink" Target="consultantplus://offline/ref=50CA071A518F5BDD78DB84A4E1B2D2EC7053CE10A0AE389D672C202C7978D7DD282B3FF9B1E4D8A4C09DBFFA60839B79A321E48DD55B46BAh416L" TargetMode="External"/><Relationship Id="rId49" Type="http://schemas.openxmlformats.org/officeDocument/2006/relationships/hyperlink" Target="consultantplus://offline/ref=50CA071A518F5BDD78DB84A4E1B2D2EC7053CE10A0AE389D672C202C7978D7DD282B3FF9B1E4D8A4C09DBFFA60839B79A321E48DD55B46BAh4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18</cp:revision>
  <dcterms:created xsi:type="dcterms:W3CDTF">2019-06-26T13:58:00Z</dcterms:created>
  <dcterms:modified xsi:type="dcterms:W3CDTF">2019-06-27T06:29:00Z</dcterms:modified>
</cp:coreProperties>
</file>